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AC" w:rsidRPr="007A56AC" w:rsidRDefault="007A56AC" w:rsidP="007A56AC">
      <w:pPr>
        <w:widowControl/>
        <w:spacing w:line="360" w:lineRule="auto"/>
        <w:jc w:val="center"/>
        <w:rPr>
          <w:rFonts w:asciiTheme="minorEastAsia" w:hAnsiTheme="minorEastAsia" w:cs="宋体"/>
          <w:b/>
          <w:color w:val="000000"/>
          <w:kern w:val="0"/>
          <w:szCs w:val="21"/>
        </w:rPr>
      </w:pPr>
      <w:bookmarkStart w:id="0" w:name="_GoBack"/>
      <w:r w:rsidRPr="007A56AC">
        <w:rPr>
          <w:rFonts w:asciiTheme="minorEastAsia" w:hAnsiTheme="minorEastAsia" w:cs="宋体" w:hint="eastAsia"/>
          <w:b/>
          <w:color w:val="000000"/>
          <w:kern w:val="0"/>
          <w:szCs w:val="21"/>
        </w:rPr>
        <w:t>机构间私募产品报价与服务系统关于进一步推进政府和社会资本合作（PPP）项目资产证券化业务的通知</w:t>
      </w:r>
    </w:p>
    <w:bookmarkEnd w:id="0"/>
    <w:p w:rsidR="006E2C22" w:rsidRPr="007A56AC" w:rsidRDefault="006E2C22" w:rsidP="007A56AC">
      <w:pPr>
        <w:spacing w:line="360" w:lineRule="auto"/>
        <w:rPr>
          <w:rFonts w:asciiTheme="minorEastAsia" w:hAnsiTheme="minorEastAsia" w:cs="宋体"/>
          <w:color w:val="000000"/>
          <w:kern w:val="0"/>
          <w:szCs w:val="21"/>
        </w:rPr>
      </w:pPr>
    </w:p>
    <w:p w:rsidR="007A56AC" w:rsidRPr="007A56AC" w:rsidRDefault="007A56AC" w:rsidP="007A56AC">
      <w:pPr>
        <w:widowControl/>
        <w:shd w:val="clear" w:color="auto" w:fill="FFFFFF"/>
        <w:spacing w:line="360" w:lineRule="auto"/>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各市场参与人：</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为贯彻落实《财政部 人民银行 证监会关于规范开展政府和社会资本合作项目资产证券化有关事宜的通知》（财金〔2017〕55号）等文件精神，进一步推进PPP项目资产证券化业务，提升服务实体经济能力，中证机构间报价系统股份有限公司（以下简称“中证报价”）根据《证券公司及基金管理公司子公司资产证券化业务管理规定》、《机构间私募产品报价与服务系统资产证券化业务指引（试行）》等相关规定，就有关事项通知如下：</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一、中证报价鼓励支持PPP项目公司、项目公司股东、项目公司其他相关主体及相关中介机构依法积极开展PPP项目资产证券化业务。各相关方应勤勉尽责，严格遵守执业规范和监管要求，确保业务稳健运营，保障投资者利益，维护市场稳定。</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二、对于各省级财政部门推荐的项目、中国政企合作支持基金投资的项目以及其他符合条件的优质PPP项目，提升受理、评审和挂牌转让工作效率，实行“即报即审、专人专岗负责”。对于申报项目，受理后5个交易日内出具反馈意见，管理人提交反馈回复确认后3个交易日内完成内部复审。</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三、中证报价将建立与证监会、财政部、基金业协会、证券业协会和其他交易场所的沟通衔接机制，积极推进符合条件的项目通过资产证券化方式实现市场化融资，为PPP项目联通资本市场提供配合与支持。</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四、中证报价PPP项目资产证券化工作小组联系人及联系方式如下：</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景雨露   010-83897872</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夏贻斌   010-83897879</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翁仕友   010-83897926</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刘思严   010-83897891</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电子邮箱：abs@sac.net.cn（资产证券化业务专用邮箱）</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 </w:t>
      </w:r>
    </w:p>
    <w:p w:rsidR="007A56AC" w:rsidRPr="007A56AC" w:rsidRDefault="007A56AC" w:rsidP="007A56AC">
      <w:pPr>
        <w:widowControl/>
        <w:shd w:val="clear" w:color="auto" w:fill="FFFFFF"/>
        <w:spacing w:line="360" w:lineRule="auto"/>
        <w:ind w:firstLine="480"/>
        <w:jc w:val="lef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 </w:t>
      </w:r>
    </w:p>
    <w:p w:rsidR="007A56AC" w:rsidRPr="007A56AC" w:rsidRDefault="007A56AC" w:rsidP="007A56AC">
      <w:pPr>
        <w:widowControl/>
        <w:shd w:val="clear" w:color="auto" w:fill="FFFFFF"/>
        <w:spacing w:line="360" w:lineRule="auto"/>
        <w:ind w:firstLine="480"/>
        <w:jc w:val="righ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中证机构间报价系统股份有限公司</w:t>
      </w:r>
    </w:p>
    <w:p w:rsidR="007A56AC" w:rsidRPr="007A56AC" w:rsidRDefault="007A56AC" w:rsidP="007A56AC">
      <w:pPr>
        <w:widowControl/>
        <w:shd w:val="clear" w:color="auto" w:fill="FFFFFF"/>
        <w:spacing w:line="360" w:lineRule="auto"/>
        <w:ind w:firstLine="480"/>
        <w:jc w:val="right"/>
        <w:rPr>
          <w:rFonts w:asciiTheme="minorEastAsia" w:hAnsiTheme="minorEastAsia" w:cs="Helvetica"/>
          <w:color w:val="3E3E3E"/>
          <w:kern w:val="0"/>
          <w:szCs w:val="21"/>
        </w:rPr>
      </w:pPr>
      <w:r w:rsidRPr="007A56AC">
        <w:rPr>
          <w:rFonts w:asciiTheme="minorEastAsia" w:hAnsiTheme="minorEastAsia" w:cs="Helvetica" w:hint="eastAsia"/>
          <w:color w:val="3E3E3E"/>
          <w:kern w:val="0"/>
          <w:szCs w:val="21"/>
        </w:rPr>
        <w:t>2017年 7 月21 日</w:t>
      </w:r>
    </w:p>
    <w:p w:rsidR="007A56AC" w:rsidRPr="007A56AC" w:rsidRDefault="007A56AC" w:rsidP="007A56AC">
      <w:pPr>
        <w:widowControl/>
        <w:shd w:val="clear" w:color="auto" w:fill="FFFFFF"/>
        <w:spacing w:line="360" w:lineRule="auto"/>
        <w:jc w:val="left"/>
        <w:rPr>
          <w:rFonts w:asciiTheme="minorEastAsia" w:hAnsiTheme="minorEastAsia" w:cs="宋体"/>
          <w:color w:val="3F3F3F"/>
          <w:kern w:val="0"/>
          <w:szCs w:val="21"/>
        </w:rPr>
      </w:pPr>
      <w:r w:rsidRPr="007A56AC">
        <w:rPr>
          <w:rFonts w:asciiTheme="minorEastAsia" w:hAnsiTheme="minorEastAsia" w:cs="宋体" w:hint="eastAsia"/>
          <w:color w:val="3F3F3F"/>
          <w:kern w:val="0"/>
          <w:szCs w:val="21"/>
        </w:rPr>
        <w:t>来源： 机构间报价系统</w:t>
      </w:r>
    </w:p>
    <w:p w:rsidR="007A56AC" w:rsidRPr="007A56AC" w:rsidRDefault="007A56AC" w:rsidP="007A56AC">
      <w:pPr>
        <w:spacing w:line="360" w:lineRule="auto"/>
        <w:rPr>
          <w:rFonts w:asciiTheme="minorEastAsia" w:hAnsiTheme="minorEastAsia" w:hint="eastAsia"/>
          <w:szCs w:val="21"/>
        </w:rPr>
      </w:pPr>
    </w:p>
    <w:p w:rsidR="007A56AC" w:rsidRPr="007A56AC" w:rsidRDefault="007A56AC">
      <w:pPr>
        <w:spacing w:line="360" w:lineRule="auto"/>
        <w:rPr>
          <w:rFonts w:asciiTheme="minorEastAsia" w:hAnsiTheme="minorEastAsia"/>
          <w:szCs w:val="21"/>
        </w:rPr>
      </w:pPr>
    </w:p>
    <w:sectPr w:rsidR="007A56AC" w:rsidRPr="007A5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75" w:rsidRDefault="00C03375" w:rsidP="003B5C70">
      <w:r>
        <w:separator/>
      </w:r>
    </w:p>
  </w:endnote>
  <w:endnote w:type="continuationSeparator" w:id="0">
    <w:p w:rsidR="00C03375" w:rsidRDefault="00C03375"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75" w:rsidRDefault="00C03375" w:rsidP="003B5C70">
      <w:r>
        <w:separator/>
      </w:r>
    </w:p>
  </w:footnote>
  <w:footnote w:type="continuationSeparator" w:id="0">
    <w:p w:rsidR="00C03375" w:rsidRDefault="00C03375"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176B3B"/>
    <w:rsid w:val="001F6FD3"/>
    <w:rsid w:val="00260178"/>
    <w:rsid w:val="00304F63"/>
    <w:rsid w:val="00373F9D"/>
    <w:rsid w:val="003805F2"/>
    <w:rsid w:val="00397BC3"/>
    <w:rsid w:val="003B5C70"/>
    <w:rsid w:val="00503A68"/>
    <w:rsid w:val="006A4039"/>
    <w:rsid w:val="006E2C22"/>
    <w:rsid w:val="00774010"/>
    <w:rsid w:val="00775DEE"/>
    <w:rsid w:val="007A56AC"/>
    <w:rsid w:val="008706F0"/>
    <w:rsid w:val="008A1A35"/>
    <w:rsid w:val="008B6D09"/>
    <w:rsid w:val="008D70F4"/>
    <w:rsid w:val="00913DE9"/>
    <w:rsid w:val="00A77077"/>
    <w:rsid w:val="00B8231B"/>
    <w:rsid w:val="00C03375"/>
    <w:rsid w:val="00CD0193"/>
    <w:rsid w:val="00D324E5"/>
    <w:rsid w:val="00DE7336"/>
    <w:rsid w:val="00E004FC"/>
    <w:rsid w:val="00E54A44"/>
    <w:rsid w:val="00E62CDD"/>
    <w:rsid w:val="00EB17A7"/>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EB1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913DE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913DE9"/>
    <w:rPr>
      <w:rFonts w:ascii="宋体" w:eastAsia="宋体" w:hAnsi="宋体" w:cs="宋体"/>
      <w:b/>
      <w:bCs/>
      <w:kern w:val="0"/>
      <w:sz w:val="24"/>
      <w:szCs w:val="24"/>
    </w:rPr>
  </w:style>
  <w:style w:type="character" w:styleId="a9">
    <w:name w:val="Hyperlink"/>
    <w:basedOn w:val="a0"/>
    <w:uiPriority w:val="99"/>
    <w:semiHidden/>
    <w:unhideWhenUsed/>
    <w:rsid w:val="00CD0193"/>
    <w:rPr>
      <w:color w:val="0000FF"/>
      <w:u w:val="single"/>
    </w:rPr>
  </w:style>
  <w:style w:type="character" w:customStyle="1" w:styleId="2Char">
    <w:name w:val="标题 2 Char"/>
    <w:basedOn w:val="a0"/>
    <w:link w:val="2"/>
    <w:uiPriority w:val="9"/>
    <w:semiHidden/>
    <w:rsid w:val="00EB17A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81723732">
      <w:bodyDiv w:val="1"/>
      <w:marLeft w:val="0"/>
      <w:marRight w:val="0"/>
      <w:marTop w:val="0"/>
      <w:marBottom w:val="0"/>
      <w:divBdr>
        <w:top w:val="none" w:sz="0" w:space="0" w:color="auto"/>
        <w:left w:val="none" w:sz="0" w:space="0" w:color="auto"/>
        <w:bottom w:val="none" w:sz="0" w:space="0" w:color="auto"/>
        <w:right w:val="none" w:sz="0" w:space="0" w:color="auto"/>
      </w:divBdr>
    </w:div>
    <w:div w:id="141656055">
      <w:bodyDiv w:val="1"/>
      <w:marLeft w:val="0"/>
      <w:marRight w:val="0"/>
      <w:marTop w:val="0"/>
      <w:marBottom w:val="0"/>
      <w:divBdr>
        <w:top w:val="none" w:sz="0" w:space="0" w:color="auto"/>
        <w:left w:val="none" w:sz="0" w:space="0" w:color="auto"/>
        <w:bottom w:val="none" w:sz="0" w:space="0" w:color="auto"/>
        <w:right w:val="none" w:sz="0" w:space="0" w:color="auto"/>
      </w:divBdr>
    </w:div>
    <w:div w:id="300312205">
      <w:bodyDiv w:val="1"/>
      <w:marLeft w:val="0"/>
      <w:marRight w:val="0"/>
      <w:marTop w:val="0"/>
      <w:marBottom w:val="0"/>
      <w:divBdr>
        <w:top w:val="none" w:sz="0" w:space="0" w:color="auto"/>
        <w:left w:val="none" w:sz="0" w:space="0" w:color="auto"/>
        <w:bottom w:val="none" w:sz="0" w:space="0" w:color="auto"/>
        <w:right w:val="none" w:sz="0" w:space="0" w:color="auto"/>
      </w:divBdr>
    </w:div>
    <w:div w:id="349378410">
      <w:bodyDiv w:val="1"/>
      <w:marLeft w:val="0"/>
      <w:marRight w:val="0"/>
      <w:marTop w:val="0"/>
      <w:marBottom w:val="0"/>
      <w:divBdr>
        <w:top w:val="none" w:sz="0" w:space="0" w:color="auto"/>
        <w:left w:val="none" w:sz="0" w:space="0" w:color="auto"/>
        <w:bottom w:val="none" w:sz="0" w:space="0" w:color="auto"/>
        <w:right w:val="none" w:sz="0" w:space="0" w:color="auto"/>
      </w:divBdr>
    </w:div>
    <w:div w:id="443617531">
      <w:bodyDiv w:val="1"/>
      <w:marLeft w:val="0"/>
      <w:marRight w:val="0"/>
      <w:marTop w:val="0"/>
      <w:marBottom w:val="0"/>
      <w:divBdr>
        <w:top w:val="none" w:sz="0" w:space="0" w:color="auto"/>
        <w:left w:val="none" w:sz="0" w:space="0" w:color="auto"/>
        <w:bottom w:val="none" w:sz="0" w:space="0" w:color="auto"/>
        <w:right w:val="none" w:sz="0" w:space="0" w:color="auto"/>
      </w:divBdr>
    </w:div>
    <w:div w:id="468059052">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580022414">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784347866">
      <w:bodyDiv w:val="1"/>
      <w:marLeft w:val="0"/>
      <w:marRight w:val="0"/>
      <w:marTop w:val="0"/>
      <w:marBottom w:val="0"/>
      <w:divBdr>
        <w:top w:val="none" w:sz="0" w:space="0" w:color="auto"/>
        <w:left w:val="none" w:sz="0" w:space="0" w:color="auto"/>
        <w:bottom w:val="none" w:sz="0" w:space="0" w:color="auto"/>
        <w:right w:val="none" w:sz="0" w:space="0" w:color="auto"/>
      </w:divBdr>
    </w:div>
    <w:div w:id="801263586">
      <w:bodyDiv w:val="1"/>
      <w:marLeft w:val="0"/>
      <w:marRight w:val="0"/>
      <w:marTop w:val="0"/>
      <w:marBottom w:val="0"/>
      <w:divBdr>
        <w:top w:val="none" w:sz="0" w:space="0" w:color="auto"/>
        <w:left w:val="none" w:sz="0" w:space="0" w:color="auto"/>
        <w:bottom w:val="none" w:sz="0" w:space="0" w:color="auto"/>
        <w:right w:val="none" w:sz="0" w:space="0" w:color="auto"/>
      </w:divBdr>
    </w:div>
    <w:div w:id="825899154">
      <w:bodyDiv w:val="1"/>
      <w:marLeft w:val="0"/>
      <w:marRight w:val="0"/>
      <w:marTop w:val="0"/>
      <w:marBottom w:val="0"/>
      <w:divBdr>
        <w:top w:val="none" w:sz="0" w:space="0" w:color="auto"/>
        <w:left w:val="none" w:sz="0" w:space="0" w:color="auto"/>
        <w:bottom w:val="none" w:sz="0" w:space="0" w:color="auto"/>
        <w:right w:val="none" w:sz="0" w:space="0" w:color="auto"/>
      </w:divBdr>
    </w:div>
    <w:div w:id="850486782">
      <w:bodyDiv w:val="1"/>
      <w:marLeft w:val="0"/>
      <w:marRight w:val="0"/>
      <w:marTop w:val="0"/>
      <w:marBottom w:val="0"/>
      <w:divBdr>
        <w:top w:val="none" w:sz="0" w:space="0" w:color="auto"/>
        <w:left w:val="none" w:sz="0" w:space="0" w:color="auto"/>
        <w:bottom w:val="none" w:sz="0" w:space="0" w:color="auto"/>
        <w:right w:val="none" w:sz="0" w:space="0" w:color="auto"/>
      </w:divBdr>
    </w:div>
    <w:div w:id="888146682">
      <w:bodyDiv w:val="1"/>
      <w:marLeft w:val="0"/>
      <w:marRight w:val="0"/>
      <w:marTop w:val="0"/>
      <w:marBottom w:val="0"/>
      <w:divBdr>
        <w:top w:val="none" w:sz="0" w:space="0" w:color="auto"/>
        <w:left w:val="none" w:sz="0" w:space="0" w:color="auto"/>
        <w:bottom w:val="none" w:sz="0" w:space="0" w:color="auto"/>
        <w:right w:val="none" w:sz="0" w:space="0" w:color="auto"/>
      </w:divBdr>
    </w:div>
    <w:div w:id="890072775">
      <w:bodyDiv w:val="1"/>
      <w:marLeft w:val="0"/>
      <w:marRight w:val="0"/>
      <w:marTop w:val="0"/>
      <w:marBottom w:val="0"/>
      <w:divBdr>
        <w:top w:val="none" w:sz="0" w:space="0" w:color="auto"/>
        <w:left w:val="none" w:sz="0" w:space="0" w:color="auto"/>
        <w:bottom w:val="none" w:sz="0" w:space="0" w:color="auto"/>
        <w:right w:val="none" w:sz="0" w:space="0" w:color="auto"/>
      </w:divBdr>
    </w:div>
    <w:div w:id="895361377">
      <w:bodyDiv w:val="1"/>
      <w:marLeft w:val="0"/>
      <w:marRight w:val="0"/>
      <w:marTop w:val="0"/>
      <w:marBottom w:val="0"/>
      <w:divBdr>
        <w:top w:val="none" w:sz="0" w:space="0" w:color="auto"/>
        <w:left w:val="none" w:sz="0" w:space="0" w:color="auto"/>
        <w:bottom w:val="none" w:sz="0" w:space="0" w:color="auto"/>
        <w:right w:val="none" w:sz="0" w:space="0" w:color="auto"/>
      </w:divBdr>
    </w:div>
    <w:div w:id="961109700">
      <w:bodyDiv w:val="1"/>
      <w:marLeft w:val="0"/>
      <w:marRight w:val="0"/>
      <w:marTop w:val="0"/>
      <w:marBottom w:val="0"/>
      <w:divBdr>
        <w:top w:val="none" w:sz="0" w:space="0" w:color="auto"/>
        <w:left w:val="none" w:sz="0" w:space="0" w:color="auto"/>
        <w:bottom w:val="none" w:sz="0" w:space="0" w:color="auto"/>
        <w:right w:val="none" w:sz="0" w:space="0" w:color="auto"/>
      </w:divBdr>
      <w:divsChild>
        <w:div w:id="1694186138">
          <w:marLeft w:val="0"/>
          <w:marRight w:val="0"/>
          <w:marTop w:val="0"/>
          <w:marBottom w:val="0"/>
          <w:divBdr>
            <w:top w:val="none" w:sz="0" w:space="0" w:color="auto"/>
            <w:left w:val="none" w:sz="0" w:space="0" w:color="auto"/>
            <w:bottom w:val="none" w:sz="0" w:space="0" w:color="auto"/>
            <w:right w:val="none" w:sz="0" w:space="0" w:color="auto"/>
          </w:divBdr>
        </w:div>
        <w:div w:id="863709675">
          <w:marLeft w:val="0"/>
          <w:marRight w:val="0"/>
          <w:marTop w:val="75"/>
          <w:marBottom w:val="75"/>
          <w:divBdr>
            <w:top w:val="none" w:sz="0" w:space="0" w:color="auto"/>
            <w:left w:val="none" w:sz="0" w:space="0" w:color="auto"/>
            <w:bottom w:val="none" w:sz="0" w:space="0" w:color="auto"/>
            <w:right w:val="none" w:sz="0" w:space="0" w:color="auto"/>
          </w:divBdr>
        </w:div>
      </w:divsChild>
    </w:div>
    <w:div w:id="999232522">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718511">
      <w:bodyDiv w:val="1"/>
      <w:marLeft w:val="0"/>
      <w:marRight w:val="0"/>
      <w:marTop w:val="0"/>
      <w:marBottom w:val="0"/>
      <w:divBdr>
        <w:top w:val="none" w:sz="0" w:space="0" w:color="auto"/>
        <w:left w:val="none" w:sz="0" w:space="0" w:color="auto"/>
        <w:bottom w:val="none" w:sz="0" w:space="0" w:color="auto"/>
        <w:right w:val="none" w:sz="0" w:space="0" w:color="auto"/>
      </w:divBdr>
    </w:div>
    <w:div w:id="1141072780">
      <w:bodyDiv w:val="1"/>
      <w:marLeft w:val="0"/>
      <w:marRight w:val="0"/>
      <w:marTop w:val="0"/>
      <w:marBottom w:val="0"/>
      <w:divBdr>
        <w:top w:val="none" w:sz="0" w:space="0" w:color="auto"/>
        <w:left w:val="none" w:sz="0" w:space="0" w:color="auto"/>
        <w:bottom w:val="none" w:sz="0" w:space="0" w:color="auto"/>
        <w:right w:val="none" w:sz="0" w:space="0" w:color="auto"/>
      </w:divBdr>
    </w:div>
    <w:div w:id="1148978192">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15463177">
      <w:bodyDiv w:val="1"/>
      <w:marLeft w:val="0"/>
      <w:marRight w:val="0"/>
      <w:marTop w:val="0"/>
      <w:marBottom w:val="0"/>
      <w:divBdr>
        <w:top w:val="none" w:sz="0" w:space="0" w:color="auto"/>
        <w:left w:val="none" w:sz="0" w:space="0" w:color="auto"/>
        <w:bottom w:val="none" w:sz="0" w:space="0" w:color="auto"/>
        <w:right w:val="none" w:sz="0" w:space="0" w:color="auto"/>
      </w:divBdr>
    </w:div>
    <w:div w:id="1262492239">
      <w:bodyDiv w:val="1"/>
      <w:marLeft w:val="0"/>
      <w:marRight w:val="0"/>
      <w:marTop w:val="0"/>
      <w:marBottom w:val="0"/>
      <w:divBdr>
        <w:top w:val="none" w:sz="0" w:space="0" w:color="auto"/>
        <w:left w:val="none" w:sz="0" w:space="0" w:color="auto"/>
        <w:bottom w:val="none" w:sz="0" w:space="0" w:color="auto"/>
        <w:right w:val="none" w:sz="0" w:space="0" w:color="auto"/>
      </w:divBdr>
      <w:divsChild>
        <w:div w:id="1245647729">
          <w:marLeft w:val="0"/>
          <w:marRight w:val="0"/>
          <w:marTop w:val="0"/>
          <w:marBottom w:val="0"/>
          <w:divBdr>
            <w:top w:val="none" w:sz="0" w:space="0" w:color="auto"/>
            <w:left w:val="none" w:sz="0" w:space="0" w:color="auto"/>
            <w:bottom w:val="none" w:sz="0" w:space="0" w:color="auto"/>
            <w:right w:val="none" w:sz="0" w:space="0" w:color="auto"/>
          </w:divBdr>
        </w:div>
        <w:div w:id="1956205796">
          <w:marLeft w:val="0"/>
          <w:marRight w:val="0"/>
          <w:marTop w:val="75"/>
          <w:marBottom w:val="75"/>
          <w:divBdr>
            <w:top w:val="none" w:sz="0" w:space="0" w:color="auto"/>
            <w:left w:val="none" w:sz="0" w:space="0" w:color="auto"/>
            <w:bottom w:val="none" w:sz="0" w:space="0" w:color="auto"/>
            <w:right w:val="none" w:sz="0" w:space="0" w:color="auto"/>
          </w:divBdr>
        </w:div>
      </w:divsChild>
    </w:div>
    <w:div w:id="1263689296">
      <w:bodyDiv w:val="1"/>
      <w:marLeft w:val="0"/>
      <w:marRight w:val="0"/>
      <w:marTop w:val="0"/>
      <w:marBottom w:val="0"/>
      <w:divBdr>
        <w:top w:val="none" w:sz="0" w:space="0" w:color="auto"/>
        <w:left w:val="none" w:sz="0" w:space="0" w:color="auto"/>
        <w:bottom w:val="none" w:sz="0" w:space="0" w:color="auto"/>
        <w:right w:val="none" w:sz="0" w:space="0" w:color="auto"/>
      </w:divBdr>
      <w:divsChild>
        <w:div w:id="1002857859">
          <w:marLeft w:val="0"/>
          <w:marRight w:val="0"/>
          <w:marTop w:val="0"/>
          <w:marBottom w:val="0"/>
          <w:divBdr>
            <w:top w:val="none" w:sz="0" w:space="0" w:color="auto"/>
            <w:left w:val="none" w:sz="0" w:space="0" w:color="auto"/>
            <w:bottom w:val="none" w:sz="0" w:space="0" w:color="auto"/>
            <w:right w:val="none" w:sz="0" w:space="0" w:color="auto"/>
          </w:divBdr>
        </w:div>
        <w:div w:id="28918143">
          <w:marLeft w:val="0"/>
          <w:marRight w:val="0"/>
          <w:marTop w:val="75"/>
          <w:marBottom w:val="75"/>
          <w:divBdr>
            <w:top w:val="none" w:sz="0" w:space="0" w:color="auto"/>
            <w:left w:val="none" w:sz="0" w:space="0" w:color="auto"/>
            <w:bottom w:val="none" w:sz="0" w:space="0" w:color="auto"/>
            <w:right w:val="none" w:sz="0" w:space="0" w:color="auto"/>
          </w:divBdr>
        </w:div>
      </w:divsChild>
    </w:div>
    <w:div w:id="1314523212">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2549176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38674891">
      <w:bodyDiv w:val="1"/>
      <w:marLeft w:val="0"/>
      <w:marRight w:val="0"/>
      <w:marTop w:val="0"/>
      <w:marBottom w:val="0"/>
      <w:divBdr>
        <w:top w:val="none" w:sz="0" w:space="0" w:color="auto"/>
        <w:left w:val="none" w:sz="0" w:space="0" w:color="auto"/>
        <w:bottom w:val="none" w:sz="0" w:space="0" w:color="auto"/>
        <w:right w:val="none" w:sz="0" w:space="0" w:color="auto"/>
      </w:divBdr>
    </w:div>
    <w:div w:id="1460027299">
      <w:bodyDiv w:val="1"/>
      <w:marLeft w:val="0"/>
      <w:marRight w:val="0"/>
      <w:marTop w:val="0"/>
      <w:marBottom w:val="0"/>
      <w:divBdr>
        <w:top w:val="none" w:sz="0" w:space="0" w:color="auto"/>
        <w:left w:val="none" w:sz="0" w:space="0" w:color="auto"/>
        <w:bottom w:val="none" w:sz="0" w:space="0" w:color="auto"/>
        <w:right w:val="none" w:sz="0" w:space="0" w:color="auto"/>
      </w:divBdr>
    </w:div>
    <w:div w:id="1524250258">
      <w:bodyDiv w:val="1"/>
      <w:marLeft w:val="0"/>
      <w:marRight w:val="0"/>
      <w:marTop w:val="0"/>
      <w:marBottom w:val="0"/>
      <w:divBdr>
        <w:top w:val="none" w:sz="0" w:space="0" w:color="auto"/>
        <w:left w:val="none" w:sz="0" w:space="0" w:color="auto"/>
        <w:bottom w:val="none" w:sz="0" w:space="0" w:color="auto"/>
        <w:right w:val="none" w:sz="0" w:space="0" w:color="auto"/>
      </w:divBdr>
      <w:divsChild>
        <w:div w:id="1746679125">
          <w:marLeft w:val="0"/>
          <w:marRight w:val="0"/>
          <w:marTop w:val="0"/>
          <w:marBottom w:val="0"/>
          <w:divBdr>
            <w:top w:val="none" w:sz="0" w:space="0" w:color="auto"/>
            <w:left w:val="none" w:sz="0" w:space="0" w:color="auto"/>
            <w:bottom w:val="none" w:sz="0" w:space="0" w:color="auto"/>
            <w:right w:val="none" w:sz="0" w:space="0" w:color="auto"/>
          </w:divBdr>
        </w:div>
        <w:div w:id="577524837">
          <w:marLeft w:val="0"/>
          <w:marRight w:val="0"/>
          <w:marTop w:val="75"/>
          <w:marBottom w:val="75"/>
          <w:divBdr>
            <w:top w:val="none" w:sz="0" w:space="0" w:color="auto"/>
            <w:left w:val="none" w:sz="0" w:space="0" w:color="auto"/>
            <w:bottom w:val="none" w:sz="0" w:space="0" w:color="auto"/>
            <w:right w:val="none" w:sz="0" w:space="0" w:color="auto"/>
          </w:divBdr>
        </w:div>
      </w:divsChild>
    </w:div>
    <w:div w:id="1547377905">
      <w:bodyDiv w:val="1"/>
      <w:marLeft w:val="0"/>
      <w:marRight w:val="0"/>
      <w:marTop w:val="0"/>
      <w:marBottom w:val="0"/>
      <w:divBdr>
        <w:top w:val="none" w:sz="0" w:space="0" w:color="auto"/>
        <w:left w:val="none" w:sz="0" w:space="0" w:color="auto"/>
        <w:bottom w:val="none" w:sz="0" w:space="0" w:color="auto"/>
        <w:right w:val="none" w:sz="0" w:space="0" w:color="auto"/>
      </w:divBdr>
    </w:div>
    <w:div w:id="16141645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7579321">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2017-08-30T07:29:00Z</dcterms:created>
  <dcterms:modified xsi:type="dcterms:W3CDTF">2017-08-30T07:29:00Z</dcterms:modified>
</cp:coreProperties>
</file>