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/>
          <w:b/>
          <w:color w:val="3E3E3E"/>
          <w:sz w:val="21"/>
          <w:szCs w:val="21"/>
        </w:rPr>
      </w:pPr>
      <w:bookmarkStart w:id="0" w:name="_GoBack"/>
      <w:r w:rsidRPr="00F75B8E">
        <w:rPr>
          <w:rFonts w:asciiTheme="minorEastAsia" w:eastAsiaTheme="minorEastAsia" w:hAnsiTheme="minorEastAsia" w:hint="eastAsia"/>
          <w:b/>
          <w:color w:val="3E3E3E"/>
          <w:sz w:val="21"/>
          <w:szCs w:val="21"/>
        </w:rPr>
        <w:t>财政部政府和社会资本合作中心关于PPP咨询机构库入库工作的补充公告</w:t>
      </w:r>
    </w:p>
    <w:bookmarkEnd w:id="0"/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为进一步落实《政府和社会资本合作（PPP）咨询机构库管理暂行办法》（财金〔2017〕8号，以下简称《办法》），现就PPP咨询机构库入库工作有关事项补充公告如下：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Style w:val="a4"/>
          <w:rFonts w:asciiTheme="minorEastAsia" w:eastAsiaTheme="minorEastAsia" w:hAnsiTheme="minorEastAsia" w:hint="eastAsia"/>
          <w:color w:val="3E3E3E"/>
          <w:sz w:val="21"/>
          <w:szCs w:val="21"/>
        </w:rPr>
        <w:t>一、关于信息核对与公开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1. 请首批可入库机构（包括补充名单）于规定时间内完成机构业绩信息录入，在业绩录入后、信息公开前，财政部PPP中心将对咨询机构库内机构信息进行核查，重点核实填报信息的完整性和咨询服务合同信息，对不符合《办法》入库条件的机构，信息公开前将请其退出机构库。其中，认定为《办法》规定的十种退库情形的，两年内不得进入机构库；情节严重的，五年内不得进入机构库。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2. 咨询机构及其业绩相关信息将于系统关闭本次入库操作后及时公开，具体可通过www.cpppc.org“机构库信息公开”栏目查询。公开的信息仅供社会各界参考，PPP项目政府方可以选择库内或库外咨询机构提供咨询服务，并应符合政府采购相关规定。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Style w:val="a4"/>
          <w:rFonts w:asciiTheme="minorEastAsia" w:eastAsiaTheme="minorEastAsia" w:hAnsiTheme="minorEastAsia" w:hint="eastAsia"/>
          <w:color w:val="3E3E3E"/>
          <w:sz w:val="21"/>
          <w:szCs w:val="21"/>
        </w:rPr>
        <w:t>二、关于首批可入库机构补充名单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3. 根据“关于启动PPP咨询机构库入库工作的公告”，财政部PPP中心对“提请识别”的机构进行了识别审核。识别审核的依据为《办法》，同时满足以下条件的机构可通过识别审核：一是咨询服务的委托方为政府、政府有关职能部门或事业单位；二是为已纳入全国PPP综合信息平台项目库的项目提供过《办法》第三条所列的PPP咨询服务；三是项目库中咨询服务合同、服务成果等能够表明机构确实提供过咨询服务。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4. 通过识别审核的可入库机构补充名单请见附件。请自本公告之日起5个工作日内将单位统一社会信用代码证（或组织机构代码证）、法人身份证正反面、联系人授权书、联系人身份证正反面、以及联系人信息等扫描在一个文件内（PDF格式，每页均须加盖单</w:t>
      </w: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lastRenderedPageBreak/>
        <w:t>位公章）发送至cpppc@cpppc.org，邮件名称统一为“机构名称+申请邀请码”，以获取注册邀请码。财政部PPP中心将在3个工作日内回复邀请码，请各机构在第4个工作日后注意查收邮件（包括垃圾邮件），取得邀请码并认真阅读入库操作手册后在www.cpppc.org“机构库信息公开”栏目内进行注册，按照提示说明录入信息。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5. 可入库机构咨询服务业绩与项目库自动关联，如注册填报时未出现关联业绩，可与项目所在地同级财政部门联系，商请修改所填报的统一社会信用代码或组织机构代码（组织机构代码不要有空格或“-”）。</w:t>
      </w:r>
      <w:r w:rsidRPr="00F75B8E">
        <w:rPr>
          <w:rFonts w:asciiTheme="minorEastAsia" w:eastAsiaTheme="minorEastAsia" w:hAnsiTheme="minorEastAsia" w:hint="eastAsia"/>
          <w:color w:val="AB1942"/>
          <w:sz w:val="21"/>
          <w:szCs w:val="21"/>
        </w:rPr>
        <w:t>纳入补充名单的可入库机构应在获得邀请码之日起10个工作日内完成入库注册和填报，否则将纳入下次可入库机构名单公告。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60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 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联系电话：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有关政策咨询：010-88659274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机构库技术咨询：010-84216788-6031或6032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 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附件：首批可入库机构补充名单 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ind w:firstLine="600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 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jc w:val="right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财政部政府和社会资本合作中心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jc w:val="right"/>
        <w:rPr>
          <w:rFonts w:asciiTheme="minorEastAsia" w:eastAsiaTheme="minorEastAsia" w:hAnsiTheme="minorEastAsia" w:hint="eastAsia"/>
          <w:color w:val="3E3E3E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3E3E3E"/>
          <w:sz w:val="21"/>
          <w:szCs w:val="21"/>
        </w:rPr>
        <w:t>                        2017年7月25日</w:t>
      </w:r>
    </w:p>
    <w:p w:rsidR="00F75B8E" w:rsidRPr="00F75B8E" w:rsidRDefault="00F75B8E" w:rsidP="00F75B8E">
      <w:pPr>
        <w:pStyle w:val="a3"/>
        <w:shd w:val="clear" w:color="auto" w:fill="FFFFFF"/>
        <w:spacing w:before="0" w:beforeAutospacing="0" w:after="450" w:afterAutospacing="0" w:line="480" w:lineRule="atLeast"/>
        <w:jc w:val="center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机构名称 （按拼音排序，不分先后）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    安徽金泉工程造价咨询有限公司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    安徽省华都工程咨询有限公司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    北京北咨工程咨询有限公司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    北京国融兴华资产评估有限责任公司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    北京国泰建中管理咨询有限公司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    北京和君咨询有限公司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    北京华诚永信工程管理有限公司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    北京建智达工程管理股份有限公司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    北京金恒威咨询有限公司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  北京立信兴华管理咨询有限公司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  北京容大博通投资咨询有限责任公司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  北京赛瑞斯国际工程咨询有限公司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  北京市百瑞律师事务所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  北京市金杜律师事务所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  北京市京师（郑州）律师事务所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  北京市盈科（郑州）律师事务所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17  北京市盈科律师事务所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18  北京市中伦律师事务所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19  北京市中闻律师事务所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20  北京首建项目管理有限公司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21  北京逸群工程咨询有限公司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22  北京众和汇智管理咨询有限公司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23  常州广信造价师事务所有限公司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24  重庆铂码工程咨询有限公司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25  重庆驰久投资咨询有限公司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26  重庆赛迪工程咨询有限公司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27  大华建设项目管理有限公司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28  大连理工招标代理有限公司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29  德汇工程管理（北京）有限公司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30  德勤华永会计师事务所（特殊普通合伙）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31  法正项目管理集团有限公司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32  福建省明信德工程咨询有限公司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33  福建通用咨询有限公司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34  福建省亿达工程咨询有限公司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35  阜新市佳音工程项目管理有限公司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36  甘肃安宇工程造价咨询有限公司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37  甘肃新一工程咨询有限公司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38  广东工程建设监理有限公司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39  广东精信工程造价咨询有限公司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40  广东省机电设备招标中心有限公司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41  广东省建筑科学研究院集团股份有限公司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42  广东省政府采购中心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43  广州菲达建筑咨询有限公司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44  广州高新工程顾问有限公司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45  广州谷德工程项目管理有限公司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46  广州市财贸建设开发监理有限公司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47  广州市天则区域发展研究中心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48  贵州弘典工程建设咨询有限公司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49  贵州昆吾万乘资产管理有限公司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50  贵州律人匠心咨询有限公司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51  贵州耐一投融资管理咨询中心（有限合伙）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52  贵州正佳招标有限公司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53  贵州中慧志合项目管理有限公司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54  国鼎和诚招标咨询有限公司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55  哈尔滨鸿翔建设工程项目管理有限公司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56  海南诚安广和投资咨询管理有限公司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57  海南定宇工程造价咨询有限公司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58  河北安泰招标有限公司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59  河北兰天工程咨询有限公司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60  河北省成套招标有限公司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61  河北兴冀工程项目管理有限公司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62  河南明泰会计师事务所（普通合伙）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63  河南千业律师事务所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64  河南永正招标代理有限公司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65  黑龙江省工程咨询评审中心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66  黑龙江新丰公路工程咨询有限公司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67  湖北省成套招标股份有限公司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68  湖北省发展规划研究院有限公司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69  湖北省工程咨询公司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70  湖北省招标股份有限公司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71  湖南楚才会计师事务所有限公司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72  湖南国联招标有限公司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73  湖南天鉴工程项目管理有限公司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74  湖南智立方工程项目管理有限公司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75  湖南中技项目管理有限公司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76  华春建设工程项目管理有限责任公司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77  华睿诚项目管理有限公司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78  吉林功承律师事务所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79  吉林汇通会计师事务所有限公司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80  吉林汇一达企业管理咨询有限公司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81  吉林世通项目管理咨询有限公司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82  济宁仁诚工程咨询有限公司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83  嘉兴正大工程管理咨询有公司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84  江苏大洲工程项目管理有限公司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85  江苏睿致诚工程咨询有限公司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86  江苏天园项目管理集团有限公司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87  江苏武晋工程咨询有限公司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88  江西省华信投资咨询中心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89  江西省卓智投资咨询有限公司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90  江西心远管理咨询有限公司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91  金研律师（北京）事务所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92  金研律师事务所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93  昆明华昆招标代理有限公司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94  龙达恒信工程咨询有限公司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95  南京睿立方投资咨询有限公司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96  南京永平建设项目管理有限公司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97  内蒙古诚泽项目管理有限责任公司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98  内蒙古文宇工程项目管理有限责任公司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99  内蒙古正源信通项目管理有限公司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100内蒙古中诚项目管理有限公司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101青岛琴岛工程造价咨询有限公司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102山东德泓项目管理有限公司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103山东海逸恒安项目管理有限公司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104山东金正工程项目管理有限公司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105山东鲁融信息咨询有限公司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106山东三阳项目管理有限公司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107山东万信项目管理有限公司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108山东英大招投标有限公司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109山东正信招标有限责任公司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110山东致公律师事务所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111山西万方建设工程项目管理咨询有限公司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112陕西华鼎工程造价事务所有限公司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113陕西新丝路项目管理有限公司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114陕西正衡工程项目管理有限公司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115陕西智信规划设计咨询有限公司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116上海国际招标有限公司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117上海沪港建设咨询有限公司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118上海建纬（长沙）律师事务所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119上海交通大学规划建筑设计有限公司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120上海凯璞庭资产管理有限公司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121深圳市国际招标有限公司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122圣弘建设股份有限公司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123石家庄盈茂投资咨询有限公司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124四川福钦建工集团有限公司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125四川国际招标有限责任公司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126四川汉和会计师事务所有限公司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127四川宏基工程管理股份有限公司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128四川建科工程建设管理有限公司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129四川名建工程项目管理有限公司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130四川明华建设项目管理咨询有限责任公司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131四川青盛工程项目管理咨询有限公司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132四川省商业建筑设计院有限公司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133四川智库策划咨询有限公司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134苏交科集团股份有限公司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135天津房友工程咨询有限公司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136天勤工程咨询有限公司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137武汉赛德勤工程咨询有限公司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138西安希格玛投资咨询有限公司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139希格玛工程造价咨询有限公司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140咸阳知含工程管理有限公司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141新疆金鼎环宇经济咨询有限公司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142新疆联信方略企业管理咨询有限责任公司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143新疆新财博睿财务咨询有限公司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144新疆招标有限公司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145耀华建设管理有限公司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146亿诚建设项目管理有限公司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147驿涛项目管理有限公司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148奕略咨询（北京）有限公司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149云南风蓝工程管理咨询有限公司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150云南润滇工程技术咨询有限公司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151云南鑫德招标咨询有限公司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152云南元大工程咨询有限责任公司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153云南云天咨询有限公司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154浙江恒欣建筑设计股份有限公司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155浙江科信联合工程项目管理咨询有限公司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156浙江瑞扬工程咨询招标代理股份有限公司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157浙江深度求索工程管理咨询有限公司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158浙江省成套招标代理有限公司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159浙江信镧建设工程咨询有限公司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160智远工程管理有限公司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161中工武大设计研究有限公司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162中国联合工程公司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163中国远东国际招标公司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164中航技国际经贸发展有限公司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165中睿智工程管理有限公司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166中审众环会计师事务所（特殊普通合伙）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167中元国际投资咨询中心有限公司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168中招国际招标有限公司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169中招康泰项目管理有限公司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170中咨江西工程有限公司</w:t>
      </w:r>
      <w:r w:rsidRPr="00F75B8E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171中资国际招标有限责任公司</w:t>
      </w:r>
    </w:p>
    <w:p w:rsidR="0044636D" w:rsidRPr="00F75B8E" w:rsidRDefault="0044636D" w:rsidP="00F75B8E">
      <w:pPr>
        <w:rPr>
          <w:rFonts w:asciiTheme="minorEastAsia" w:hAnsiTheme="minorEastAsia"/>
          <w:szCs w:val="21"/>
        </w:rPr>
      </w:pPr>
    </w:p>
    <w:sectPr w:rsidR="0044636D" w:rsidRPr="00F75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F1" w:rsidRDefault="00AF74F1" w:rsidP="003B5C70">
      <w:r>
        <w:separator/>
      </w:r>
    </w:p>
  </w:endnote>
  <w:endnote w:type="continuationSeparator" w:id="0">
    <w:p w:rsidR="00AF74F1" w:rsidRDefault="00AF74F1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F1" w:rsidRDefault="00AF74F1" w:rsidP="003B5C70">
      <w:r>
        <w:separator/>
      </w:r>
    </w:p>
  </w:footnote>
  <w:footnote w:type="continuationSeparator" w:id="0">
    <w:p w:rsidR="00AF74F1" w:rsidRDefault="00AF74F1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011A77"/>
    <w:rsid w:val="00067E1C"/>
    <w:rsid w:val="00083A11"/>
    <w:rsid w:val="0015700B"/>
    <w:rsid w:val="001F6FD3"/>
    <w:rsid w:val="00260178"/>
    <w:rsid w:val="00304F63"/>
    <w:rsid w:val="00373F9D"/>
    <w:rsid w:val="003805F2"/>
    <w:rsid w:val="003B5C70"/>
    <w:rsid w:val="0044636D"/>
    <w:rsid w:val="004B2B53"/>
    <w:rsid w:val="004C74E0"/>
    <w:rsid w:val="004E6E07"/>
    <w:rsid w:val="00672F15"/>
    <w:rsid w:val="006D1A77"/>
    <w:rsid w:val="00775DEE"/>
    <w:rsid w:val="00824035"/>
    <w:rsid w:val="00897D0F"/>
    <w:rsid w:val="008B6D09"/>
    <w:rsid w:val="008C5912"/>
    <w:rsid w:val="008C69AF"/>
    <w:rsid w:val="008D70F4"/>
    <w:rsid w:val="00943981"/>
    <w:rsid w:val="009978E6"/>
    <w:rsid w:val="009B0CEE"/>
    <w:rsid w:val="00A77077"/>
    <w:rsid w:val="00AB4A97"/>
    <w:rsid w:val="00AC1CD9"/>
    <w:rsid w:val="00AF74F1"/>
    <w:rsid w:val="00B07C7B"/>
    <w:rsid w:val="00B17EB5"/>
    <w:rsid w:val="00B87F53"/>
    <w:rsid w:val="00C11E61"/>
    <w:rsid w:val="00DE7336"/>
    <w:rsid w:val="00E54A44"/>
    <w:rsid w:val="00E62CDD"/>
    <w:rsid w:val="00EC3E3D"/>
    <w:rsid w:val="00ED7BF1"/>
    <w:rsid w:val="00EF1173"/>
    <w:rsid w:val="00F629C9"/>
    <w:rsid w:val="00F75B8E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B2B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4B2B53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2B53"/>
    <w:rPr>
      <w:color w:val="0000FF"/>
      <w:u w:val="single"/>
    </w:rPr>
  </w:style>
  <w:style w:type="character" w:customStyle="1" w:styleId="informationtxt1">
    <w:name w:val="information_txt1"/>
    <w:basedOn w:val="a0"/>
    <w:rsid w:val="008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2017-07-31T06:26:00Z</dcterms:created>
  <dcterms:modified xsi:type="dcterms:W3CDTF">2017-07-31T06:26:00Z</dcterms:modified>
</cp:coreProperties>
</file>