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hint="eastAsia"/>
          <w:b/>
          <w:bCs/>
        </w:rPr>
      </w:pPr>
      <w:bookmarkStart w:id="0" w:name="_GoBack"/>
      <w:r>
        <w:rPr>
          <w:rFonts w:hint="eastAsia"/>
          <w:b/>
          <w:bCs/>
        </w:rPr>
        <w:t>国家计委关于加强国有基础设施资产权益转让管理的通知</w:t>
      </w:r>
    </w:p>
    <w:p>
      <w:pPr>
        <w:pStyle w:val="12"/>
        <w:jc w:val="center"/>
        <w:rPr>
          <w:rFonts w:hint="eastAsia"/>
          <w:b/>
          <w:bCs/>
        </w:rPr>
      </w:pPr>
      <w:r>
        <w:rPr>
          <w:rFonts w:hint="eastAsia"/>
          <w:b/>
          <w:bCs/>
        </w:rPr>
        <w:t>【计外资[1999]1684号】</w:t>
      </w:r>
    </w:p>
    <w:bookmarkEnd w:id="0"/>
    <w:p>
      <w:pPr>
        <w:pStyle w:val="12"/>
        <w:jc w:val="center"/>
        <w:rPr>
          <w:rFonts w:hint="eastAsia"/>
          <w:b/>
          <w:bCs/>
        </w:rPr>
      </w:pPr>
    </w:p>
    <w:p>
      <w:pPr>
        <w:pStyle w:val="12"/>
        <w:rPr>
          <w:b/>
          <w:bCs/>
        </w:rPr>
      </w:pPr>
      <w:r>
        <w:t>各省、自治区、直辖市及计划单列市计委(计经委)：</w:t>
      </w:r>
      <w:r>
        <w:br w:type="textWrapping"/>
      </w:r>
      <w:r>
        <w:br w:type="textWrapping"/>
      </w:r>
      <w:r>
        <w:t>　　近年来，一些地方为筹 集资金支持基础设施建设，采用了向外商及国内经济组织转让国有基础设施经营权、收益权、使用权以及股权等资产权益的做法。由于目前国家对此类资产权益转让没有明确的管理办 法，出现了以保证外商投资回报率方式变相举借外债、在城市公用事业领域与外商全行业合 资合作，审批程序混乱等问题。基础设施资产权益转让涉及到基础设施建设规划、投融资和 价格管理，向外商转让基础设施资产权益还涉及到外汇平衡等问题，必须经国家综合平衡和 宏观调控。为规范国有基础设施资产权益转让的管理，现将有关事项通知如下：</w:t>
      </w:r>
      <w:r>
        <w:br w:type="textWrapping"/>
      </w:r>
      <w:r>
        <w:br w:type="textWrapping"/>
      </w:r>
      <w:r>
        <w:rPr>
          <w:b/>
          <w:bCs/>
        </w:rPr>
        <w:t>　　一、基础设施资产权益转让的范围</w:t>
      </w:r>
    </w:p>
    <w:p>
      <w:pPr>
        <w:pStyle w:val="12"/>
      </w:pPr>
    </w:p>
    <w:p>
      <w:pPr>
        <w:pStyle w:val="12"/>
        <w:rPr>
          <w:b/>
          <w:bCs/>
        </w:rPr>
      </w:pPr>
      <w:r>
        <w:t>本通知所称基础设施资产权益转让是指向外商和国内经济组织转 让国有公路、桥梁、隧道、港口码头、城市市政等公用基础设施的经营权、使用权、收益权 、以及股权等(以下称“资产权益”)。</w:t>
      </w:r>
      <w:r>
        <w:br w:type="textWrapping"/>
      </w:r>
      <w:r>
        <w:br w:type="textWrapping"/>
      </w:r>
      <w:r>
        <w:rPr>
          <w:b/>
          <w:bCs/>
        </w:rPr>
        <w:t>　　二、资产权益转让的要求</w:t>
      </w:r>
      <w:r>
        <w:rPr>
          <w:b/>
          <w:bCs/>
        </w:rPr>
        <w:br w:type="textWrapping"/>
      </w:r>
      <w:r>
        <w:br w:type="textWrapping"/>
      </w:r>
      <w:r>
        <w:t>　　(一)资产权益转让必须 符合国家整体利益和长远发展的需要，有利于国有资产保值增值和运营效益的提高。各地方、各部门要加强管理，适度有序地进行，维护国有经济在基础设施领域的主导地位，保证政府在该领域的调控能力。</w:t>
      </w:r>
      <w:r>
        <w:br w:type="textWrapping"/>
      </w:r>
      <w:r>
        <w:br w:type="textWrapping"/>
      </w:r>
      <w:r>
        <w:t>　　(二)转让资产权益的收入，在扣除应缴税款后，首先要用于偿还到期的债务，安置富余人员。其余部分在同级政府财政列收列支，专项用作建设资金，原则上限于在同行业内使用。不得将转让收入用于基础设施以外的项目建设，不得用于经常性支出 和平衡财政预算、发放工资奖金等。</w:t>
      </w:r>
      <w:r>
        <w:br w:type="textWrapping"/>
      </w:r>
      <w:r>
        <w:br w:type="textWrapping"/>
      </w:r>
      <w:r>
        <w:t>　　(三)受让方一般应采用公开招标或其它竞争方式比选确定。在同等条件下，应优先选择国内经济组织为受让方。</w:t>
      </w:r>
      <w:r>
        <w:br w:type="textWrapping"/>
      </w:r>
      <w:r>
        <w:br w:type="textWrapping"/>
      </w:r>
      <w:r>
        <w:t>　　(四)对拟在资产权益转让后开 始收费或调整收费标准的，应按国家有关法律、行政法规及其规定的程序报有关部门批准。</w:t>
      </w:r>
      <w:r>
        <w:br w:type="textWrapping"/>
      </w:r>
      <w:r>
        <w:br w:type="textWrapping"/>
      </w:r>
      <w:r>
        <w:t>　　(五)资产权益转让年限一般不超过20年。对于在转让后对原基础设施进行了更新改造或扩建，且投资大、利润率低、回收期长的项目，可适当延长年限，但最长不得超过25年。基础 设施在资产权益转让期满后，应无债务、不设定担保、设施状况完好地移交给政府机构。</w:t>
      </w:r>
      <w:r>
        <w:br w:type="textWrapping"/>
      </w:r>
      <w:r>
        <w:br w:type="textWrapping"/>
      </w:r>
      <w:r>
        <w:t>　　(六)受让方必须在转让协议生效6个月内支付协议项下的全部款项。在转让协议生效后3年内 ，不得再转让所取得的资产权益。3年后再转让所取得的资产权益须得到原审批机构的批准。</w:t>
      </w:r>
      <w:r>
        <w:br w:type="textWrapping"/>
      </w:r>
      <w:r>
        <w:br w:type="textWrapping"/>
      </w:r>
      <w:r>
        <w:t>　　(七)由于公用基础设施经营的特殊性，项目所在地政府可以为项目提供必要的经营条件 ，但不得以任何方式保证受让方的投资回报。</w:t>
      </w:r>
      <w:r>
        <w:br w:type="textWrapping"/>
      </w:r>
      <w:r>
        <w:br w:type="textWrapping"/>
      </w:r>
      <w:r>
        <w:rPr>
          <w:b/>
          <w:bCs/>
        </w:rPr>
        <w:t>　　三、资产权益转让项目的审批</w:t>
      </w:r>
      <w:r>
        <w:rPr>
          <w:b/>
          <w:bCs/>
        </w:rPr>
        <w:br w:type="textWrapping"/>
      </w:r>
      <w:r>
        <w:br w:type="textWrapping"/>
      </w:r>
      <w:r>
        <w:t>　　(一)资产权益转让项目的审批权限按照国家现行内外资建设项目审批的有关规定，规模在限额以上的，由国家计委会同有关部门审批。重大项目报国务院审批。限下项目由各省、自治区、直辖市及计划单列市计委(计经委)审批。地方对资产权益转让项目的审批权不得层层下放。不得将限额以上项目拆成若干限下项目审批。</w:t>
      </w:r>
      <w:r>
        <w:br w:type="textWrapping"/>
      </w:r>
      <w:r>
        <w:br w:type="textWrapping"/>
      </w:r>
      <w:r>
        <w:t>　　(二)地方有权审批的项目中有中央投资的，需征求中央原投资部门的意见。原有债务(包括借用的国外贷款)没有偿清的项目，如发生债务人变更，必须征得债权人(包括国外优惠贷款的窗口部门)的同意。</w:t>
      </w:r>
      <w:r>
        <w:br w:type="textWrapping"/>
      </w:r>
      <w:r>
        <w:br w:type="textWrapping"/>
      </w:r>
      <w:r>
        <w:t>　　(三)地方审批的项目，须报 国家计委和行业主管部门备案。有关部门在收到报备文件30日内不提出意见，视为同意，审批文件生效。</w:t>
      </w:r>
      <w:r>
        <w:br w:type="textWrapping"/>
      </w:r>
      <w:r>
        <w:br w:type="textWrapping"/>
      </w:r>
      <w:r>
        <w:t>　　(四)为提高办事效率，根据资产权益转让项目的特点，其项目建议书和可行性研究报告的主要内容应有所侧重。视具体情况，项目资产转让方案可替代项目可行性研究报告，由项目审批部门自行掌握。</w:t>
      </w:r>
      <w:r>
        <w:br w:type="textWrapping"/>
      </w:r>
      <w:r>
        <w:br w:type="textWrapping"/>
      </w:r>
      <w:r>
        <w:t>　　项目建议书和可行性研究报告(或资产权益转让方案)的内容要求见附件。</w:t>
      </w:r>
      <w:r>
        <w:br w:type="textWrapping"/>
      </w:r>
      <w:r>
        <w:br w:type="textWrapping"/>
      </w:r>
      <w:r>
        <w:rPr>
          <w:b/>
          <w:bCs/>
        </w:rPr>
        <w:t>　　四、其它事项</w:t>
      </w:r>
    </w:p>
    <w:p>
      <w:pPr>
        <w:pStyle w:val="12"/>
      </w:pPr>
    </w:p>
    <w:p>
      <w:pPr>
        <w:pStyle w:val="12"/>
        <w:sectPr>
          <w:pgSz w:w="11906" w:h="16838"/>
          <w:pgMar w:top="1440" w:right="1800" w:bottom="1440" w:left="1800" w:header="851" w:footer="992" w:gutter="0"/>
          <w:cols w:space="425" w:num="1"/>
          <w:docGrid w:type="lines" w:linePitch="312" w:charSpace="0"/>
        </w:sectPr>
      </w:pPr>
      <w:r>
        <w:t>(一)受让方为外商的资产权益转让项目，必须符合国家规定的允许外商投资领域和外商出资比例等要求。资产权益转让项目需设立外商投资企业的，须按现行规定报批合资合同和企业章程。国有基础设施项目在境内外发行股票，按现行有关法律和行政法规的规定办理。</w:t>
      </w:r>
      <w:r>
        <w:br w:type="textWrapping"/>
      </w:r>
      <w:r>
        <w:br w:type="textWrapping"/>
      </w:r>
      <w:r>
        <w:t>　　(二)资产权益转让不按本通知的规定进行的，视情节轻重 ，按有关法律法规将给予警告、罚款、没收非法所得和吊销营业执照等处罚。</w:t>
      </w:r>
      <w:r>
        <w:br w:type="textWrapping"/>
      </w:r>
      <w:r>
        <w:br w:type="textWrapping"/>
      </w:r>
      <w:r>
        <w:t>　　</w:t>
      </w:r>
    </w:p>
    <w:p>
      <w:pPr>
        <w:pStyle w:val="12"/>
        <w:ind w:left="0" w:leftChars="0" w:firstLine="0" w:firstLineChars="0"/>
        <w:rPr>
          <w:rFonts w:hint="eastAsia" w:ascii="宋体" w:hAnsi="宋体" w:eastAsia="宋体" w:cs="宋体"/>
        </w:rPr>
      </w:pPr>
      <w:r>
        <w:rPr>
          <w:rFonts w:hint="eastAsia" w:ascii="宋体" w:hAnsi="宋体" w:eastAsia="宋体" w:cs="宋体"/>
        </w:rPr>
        <w:t>附件：</w:t>
      </w:r>
    </w:p>
    <w:p>
      <w:pPr>
        <w:pStyle w:val="12"/>
        <w:ind w:left="0" w:leftChars="0" w:firstLine="0" w:firstLineChars="0"/>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资产权益转让项目建议书和可行性研究报告(或资产权益转让方案)的内容要求</w:t>
      </w:r>
    </w:p>
    <w:p>
      <w:pPr>
        <w:pStyle w:val="12"/>
        <w:rPr>
          <w:rFonts w:hint="eastAsia" w:ascii="宋体" w:hAnsi="宋体" w:eastAsia="宋体" w:cs="宋体"/>
        </w:rPr>
      </w:pPr>
      <w:r>
        <w:rPr>
          <w:rFonts w:hint="eastAsia" w:ascii="宋体" w:hAnsi="宋体" w:eastAsia="宋体" w:cs="宋体"/>
        </w:rPr>
        <w:t>一九九九年十月十九日</w:t>
      </w:r>
    </w:p>
    <w:p>
      <w:pPr>
        <w:pStyle w:val="12"/>
        <w:rPr>
          <w:rFonts w:hint="eastAsia" w:ascii="宋体" w:hAnsi="宋体" w:eastAsia="宋体" w:cs="宋体"/>
        </w:rPr>
      </w:pPr>
    </w:p>
    <w:p>
      <w:pPr>
        <w:pStyle w:val="12"/>
        <w:ind w:left="0" w:leftChars="0" w:firstLine="0" w:firstLineChars="0"/>
        <w:rPr>
          <w:rFonts w:hint="eastAsia" w:ascii="宋体" w:hAnsi="宋体" w:eastAsia="宋体" w:cs="宋体"/>
        </w:rPr>
      </w:pPr>
      <w:r>
        <w:rPr>
          <w:rFonts w:hint="eastAsia" w:ascii="宋体" w:hAnsi="宋体" w:eastAsia="宋体" w:cs="宋体"/>
        </w:rPr>
        <w:t>附件：</w:t>
      </w:r>
    </w:p>
    <w:p>
      <w:pPr>
        <w:pStyle w:val="12"/>
        <w:rPr>
          <w:rFonts w:hint="eastAsia" w:ascii="宋体" w:hAnsi="宋体" w:eastAsia="宋体" w:cs="宋体"/>
        </w:rPr>
      </w:pPr>
      <w:r>
        <w:rPr>
          <w:rFonts w:hint="eastAsia" w:ascii="宋体" w:hAnsi="宋体" w:eastAsia="宋体" w:cs="宋体"/>
        </w:rPr>
        <w:t>资产权益转让项目建议书和可行性研究报告(或资产权益转让方案)的内容要求</w:t>
      </w:r>
    </w:p>
    <w:p>
      <w:pPr>
        <w:pStyle w:val="12"/>
        <w:rPr>
          <w:rFonts w:hint="eastAsia" w:ascii="宋体" w:hAnsi="宋体" w:eastAsia="宋体" w:cs="宋体"/>
        </w:rPr>
      </w:pPr>
    </w:p>
    <w:p>
      <w:pPr>
        <w:pStyle w:val="12"/>
        <w:rPr>
          <w:rFonts w:hint="eastAsia" w:ascii="宋体" w:hAnsi="宋体" w:eastAsia="宋体" w:cs="宋体"/>
        </w:rPr>
      </w:pPr>
      <w:r>
        <w:rPr>
          <w:rFonts w:hint="eastAsia" w:ascii="宋体" w:hAnsi="宋体" w:eastAsia="宋体" w:cs="宋体"/>
        </w:rPr>
        <w:t>一、资产权益转让项目建议书应有以下内容：</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(一)原项目概况(项目规模、资金来源、经营状况、债务状况、在本地区本行业的经济地位等)</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(二)转让的目的；</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(三)出让方、转让内容、期限、转让后的经营方式、拟提供的经营条件等；</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(四)转让所得的初步投向；</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(五)债务偿还初步方案；</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(六)资产预评估结果(含资产评估机构资质证书)；</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(七)转让对经济、社会等方面的影响分析；</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(八)拟采取的选择受让方方式；</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(九)审批机构要求的其它文件。</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二、资产权益转让项目可行性研究报告(或资产权益转让方案)应有以下内容：</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(一)受让方选择情况及选择结果；</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(二)出让方、受让方、转让内容、价格、期限、提供的经营条件等；</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(三) 转让后的经营方式、权利及义务的分享分担情况；</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(四)债务偿还方案；</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(五)转让收入使用方案；</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(六)经济、社会效益分析；国有资产保值增值分析；</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(七)财务分析；</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(八)对原有设施扩建或更新改造的可行性分析；</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(九)附件：</w:t>
      </w:r>
      <w:r>
        <w:rPr>
          <w:rFonts w:hint="eastAsia" w:ascii="宋体" w:hAnsi="宋体" w:eastAsia="宋体" w:cs="宋体"/>
        </w:rPr>
        <w:br w:type="textWrapping"/>
      </w:r>
      <w:r>
        <w:rPr>
          <w:rFonts w:hint="eastAsia" w:ascii="宋体" w:hAnsi="宋体" w:eastAsia="宋体" w:cs="宋体"/>
        </w:rPr>
        <w:t>　　·受让方和出让方的协议书；</w:t>
      </w:r>
      <w:r>
        <w:rPr>
          <w:rFonts w:hint="eastAsia" w:ascii="宋体" w:hAnsi="宋体" w:eastAsia="宋体" w:cs="宋体"/>
        </w:rPr>
        <w:br w:type="textWrapping"/>
      </w:r>
      <w:r>
        <w:rPr>
          <w:rFonts w:hint="eastAsia" w:ascii="宋体" w:hAnsi="宋体" w:eastAsia="宋体" w:cs="宋体"/>
        </w:rPr>
        <w:t>　　· 受让方资信证明；</w:t>
      </w:r>
      <w:r>
        <w:rPr>
          <w:rFonts w:hint="eastAsia" w:ascii="宋体" w:hAnsi="宋体" w:eastAsia="宋体" w:cs="宋体"/>
        </w:rPr>
        <w:br w:type="textWrapping"/>
      </w:r>
      <w:r>
        <w:rPr>
          <w:rFonts w:hint="eastAsia" w:ascii="宋体" w:hAnsi="宋体" w:eastAsia="宋体" w:cs="宋体"/>
        </w:rPr>
        <w:t>　　·受让方和转让方的资产负债表、损益表、现金流量表；</w:t>
      </w:r>
      <w:r>
        <w:rPr>
          <w:rFonts w:hint="eastAsia" w:ascii="宋体" w:hAnsi="宋体" w:eastAsia="宋体" w:cs="宋体"/>
        </w:rPr>
        <w:br w:type="textWrapping"/>
      </w:r>
      <w:r>
        <w:rPr>
          <w:rFonts w:hint="eastAsia" w:ascii="宋体" w:hAnsi="宋体" w:eastAsia="宋体" w:cs="宋体"/>
        </w:rPr>
        <w:t>　　·资产评估 报告和同级国有资产管理部门的确认书；</w:t>
      </w:r>
      <w:r>
        <w:rPr>
          <w:rFonts w:hint="eastAsia" w:ascii="宋体" w:hAnsi="宋体" w:eastAsia="宋体" w:cs="宋体"/>
        </w:rPr>
        <w:br w:type="textWrapping"/>
      </w:r>
      <w:r>
        <w:rPr>
          <w:rFonts w:hint="eastAsia" w:ascii="宋体" w:hAnsi="宋体" w:eastAsia="宋体" w:cs="宋体"/>
        </w:rPr>
        <w:t>　　·原投资部门和债权人的意见书；</w:t>
      </w:r>
      <w:r>
        <w:rPr>
          <w:rFonts w:hint="eastAsia" w:ascii="宋体" w:hAnsi="宋体" w:eastAsia="宋体" w:cs="宋体"/>
        </w:rPr>
        <w:br w:type="textWrapping"/>
      </w:r>
      <w:r>
        <w:rPr>
          <w:rFonts w:hint="eastAsia" w:ascii="宋体" w:hAnsi="宋体" w:eastAsia="宋体" w:cs="宋体"/>
        </w:rPr>
        <w:t>　　·转让所得 进行其它项目建设的批准文件；</w:t>
      </w:r>
      <w:r>
        <w:rPr>
          <w:rFonts w:hint="eastAsia" w:ascii="宋体" w:hAnsi="宋体" w:eastAsia="宋体" w:cs="宋体"/>
        </w:rPr>
        <w:br w:type="textWrapping"/>
      </w:r>
      <w:r>
        <w:rPr>
          <w:rFonts w:hint="eastAsia" w:ascii="宋体" w:hAnsi="宋体" w:eastAsia="宋体" w:cs="宋体"/>
        </w:rPr>
        <w:t>　　·结汇计划；</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xml:space="preserve">　　(十)审批机构要求的其它文件。 </w:t>
      </w:r>
    </w:p>
    <w:p>
      <w:pPr>
        <w:pStyle w:val="12"/>
        <w:rPr>
          <w:rFonts w:hint="eastAsia" w:ascii="宋体" w:hAnsi="宋体" w:eastAsia="宋体" w:cs="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6273D2F"/>
    <w:rsid w:val="0826101C"/>
    <w:rsid w:val="083B2E68"/>
    <w:rsid w:val="17EE545F"/>
    <w:rsid w:val="198860F9"/>
    <w:rsid w:val="1B0A3499"/>
    <w:rsid w:val="2182268D"/>
    <w:rsid w:val="275012D1"/>
    <w:rsid w:val="36EA50A7"/>
    <w:rsid w:val="39E113F5"/>
    <w:rsid w:val="3B2F6EF7"/>
    <w:rsid w:val="3CDF67F3"/>
    <w:rsid w:val="3D9A530C"/>
    <w:rsid w:val="4D765109"/>
    <w:rsid w:val="572040A1"/>
    <w:rsid w:val="6080698E"/>
    <w:rsid w:val="65A31D7F"/>
    <w:rsid w:val="72F907FB"/>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607FA6"/>
      <w:u w:val="none"/>
    </w:rPr>
  </w:style>
  <w:style w:type="character" w:styleId="7">
    <w:name w:val="Emphasis"/>
    <w:basedOn w:val="4"/>
    <w:qFormat/>
    <w:uiPriority w:val="0"/>
  </w:style>
  <w:style w:type="character" w:styleId="8">
    <w:name w:val="Hyperlink"/>
    <w:basedOn w:val="4"/>
    <w:qFormat/>
    <w:uiPriority w:val="0"/>
    <w:rPr>
      <w:color w:val="607FA6"/>
      <w:u w:val="none"/>
    </w:rPr>
  </w:style>
  <w:style w:type="character" w:styleId="9">
    <w:name w:val="HTML Code"/>
    <w:basedOn w:val="4"/>
    <w:qFormat/>
    <w:uiPriority w:val="0"/>
    <w:rPr>
      <w:rFonts w:ascii="Courier New" w:hAnsi="Courier New"/>
      <w:sz w:val="20"/>
    </w:rPr>
  </w:style>
  <w:style w:type="character" w:styleId="10">
    <w:name w:val="HTML Cite"/>
    <w:basedOn w:val="4"/>
    <w:uiPriority w:val="0"/>
  </w:style>
  <w:style w:type="paragraph" w:customStyle="1" w:styleId="12">
    <w:name w:val="样式1"/>
    <w:basedOn w:val="1"/>
    <w:qFormat/>
    <w:uiPriority w:val="0"/>
    <w:pPr>
      <w:spacing w:before="10"/>
      <w:ind w:firstLine="420" w:firstLineChars="200"/>
    </w:pPr>
    <w:rPr>
      <w:rFonts w:asciiTheme="minorAscii" w:hAnsiTheme="minorAscii"/>
    </w:rPr>
  </w:style>
  <w:style w:type="character" w:customStyle="1" w:styleId="13">
    <w:name w:val="css_blue1"/>
    <w:basedOn w:val="4"/>
    <w:qFormat/>
    <w:uiPriority w:val="0"/>
    <w:rPr>
      <w:color w:val="4A81A8"/>
      <w:sz w:val="21"/>
      <w:szCs w:val="21"/>
    </w:rPr>
  </w:style>
  <w:style w:type="character" w:customStyle="1" w:styleId="14">
    <w:name w:val="rich_media_meta_nickname"/>
    <w:basedOn w:val="4"/>
    <w:qFormat/>
    <w:uiPriority w:val="0"/>
    <w:rPr>
      <w:vanish/>
    </w:rPr>
  </w:style>
  <w:style w:type="character" w:customStyle="1" w:styleId="15">
    <w:name w:val="rich_media_meta_nickname1"/>
    <w:basedOn w:val="4"/>
    <w:qFormat/>
    <w:uiPriority w:val="0"/>
  </w:style>
  <w:style w:type="character" w:customStyle="1" w:styleId="16">
    <w:name w:val="tz_input"/>
    <w:basedOn w:val="4"/>
    <w:qFormat/>
    <w:uiPriority w:val="0"/>
    <w:rPr>
      <w:color w:val="A01211"/>
      <w:sz w:val="24"/>
      <w:szCs w:val="24"/>
    </w:rPr>
  </w:style>
  <w:style w:type="character" w:customStyle="1" w:styleId="17">
    <w:name w:val="bg01"/>
    <w:basedOn w:val="4"/>
    <w:qFormat/>
    <w:uiPriority w:val="0"/>
  </w:style>
  <w:style w:type="character" w:customStyle="1" w:styleId="18">
    <w:name w:val="m01"/>
    <w:basedOn w:val="4"/>
    <w:qFormat/>
    <w:uiPriority w:val="0"/>
  </w:style>
  <w:style w:type="character" w:customStyle="1" w:styleId="19">
    <w:name w:val="m011"/>
    <w:basedOn w:val="4"/>
    <w:qFormat/>
    <w:uiPriority w:val="0"/>
  </w:style>
  <w:style w:type="character" w:customStyle="1" w:styleId="20">
    <w:name w:val="font"/>
    <w:basedOn w:val="4"/>
    <w:qFormat/>
    <w:uiPriority w:val="0"/>
  </w:style>
  <w:style w:type="character" w:customStyle="1" w:styleId="21">
    <w:name w:val="font1"/>
    <w:basedOn w:val="4"/>
    <w:qFormat/>
    <w:uiPriority w:val="0"/>
  </w:style>
  <w:style w:type="character" w:customStyle="1" w:styleId="22">
    <w:name w:val="bg02"/>
    <w:basedOn w:val="4"/>
    <w:qFormat/>
    <w:uiPriority w:val="0"/>
  </w:style>
  <w:style w:type="character" w:customStyle="1" w:styleId="23">
    <w:name w:val="tabg"/>
    <w:basedOn w:val="4"/>
    <w:qFormat/>
    <w:uiPriority w:val="0"/>
    <w:rPr>
      <w:color w:val="FFFFFF"/>
      <w:sz w:val="27"/>
      <w:szCs w:val="27"/>
    </w:rPr>
  </w:style>
  <w:style w:type="character" w:customStyle="1" w:styleId="24">
    <w:name w:val="more4"/>
    <w:basedOn w:val="4"/>
    <w:qFormat/>
    <w:uiPriority w:val="0"/>
    <w:rPr>
      <w:color w:val="666666"/>
      <w:sz w:val="18"/>
      <w:szCs w:val="18"/>
    </w:rPr>
  </w:style>
  <w:style w:type="character" w:customStyle="1" w:styleId="25">
    <w:name w:val="gwds_nopic"/>
    <w:basedOn w:val="4"/>
    <w:qFormat/>
    <w:uiPriority w:val="0"/>
  </w:style>
  <w:style w:type="character" w:customStyle="1" w:styleId="26">
    <w:name w:val="gwds_nopic1"/>
    <w:basedOn w:val="4"/>
    <w:qFormat/>
    <w:uiPriority w:val="0"/>
  </w:style>
  <w:style w:type="character" w:customStyle="1" w:styleId="27">
    <w:name w:val="gwds_nopic2"/>
    <w:basedOn w:val="4"/>
    <w:qFormat/>
    <w:uiPriority w:val="0"/>
  </w:style>
  <w:style w:type="character" w:customStyle="1" w:styleId="28">
    <w:name w:val="bds_more4"/>
    <w:basedOn w:val="4"/>
    <w:qFormat/>
    <w:uiPriority w:val="0"/>
  </w:style>
  <w:style w:type="character" w:customStyle="1" w:styleId="29">
    <w:name w:val="bds_nopic"/>
    <w:basedOn w:val="4"/>
    <w:uiPriority w:val="0"/>
  </w:style>
  <w:style w:type="character" w:customStyle="1" w:styleId="30">
    <w:name w:val="bds_nopic1"/>
    <w:basedOn w:val="4"/>
    <w:qFormat/>
    <w:uiPriority w:val="0"/>
  </w:style>
  <w:style w:type="character" w:customStyle="1" w:styleId="31">
    <w:name w:val="bds_nopic2"/>
    <w:basedOn w:val="4"/>
    <w:qFormat/>
    <w:uiPriority w:val="0"/>
  </w:style>
  <w:style w:type="character" w:customStyle="1" w:styleId="32">
    <w:name w:val="bds_more3"/>
    <w:basedOn w:val="4"/>
    <w:qFormat/>
    <w:uiPriority w:val="0"/>
    <w:rPr>
      <w:rFonts w:hint="eastAsia" w:ascii="宋体" w:hAnsi="宋体" w:eastAsia="宋体" w:cs="宋体"/>
    </w:rPr>
  </w:style>
  <w:style w:type="character" w:customStyle="1" w:styleId="33">
    <w:name w:val="bds_more5"/>
    <w:basedOn w:val="4"/>
    <w:uiPriority w:val="0"/>
  </w:style>
  <w:style w:type="character" w:customStyle="1" w:styleId="34">
    <w:name w:val="on"/>
    <w:basedOn w:val="4"/>
    <w:uiPriority w:val="0"/>
    <w:rPr>
      <w:color w:val="FFFFFF"/>
    </w:rPr>
  </w:style>
  <w:style w:type="character" w:customStyle="1" w:styleId="35">
    <w:name w:val="cur"/>
    <w:basedOn w:val="4"/>
    <w:uiPriority w:val="0"/>
    <w:rPr>
      <w:b/>
    </w:rPr>
  </w:style>
  <w:style w:type="character" w:customStyle="1" w:styleId="36">
    <w:name w:val="cur1"/>
    <w:basedOn w:val="4"/>
    <w:uiPriority w:val="0"/>
    <w:rPr>
      <w:b/>
    </w:rPr>
  </w:style>
  <w:style w:type="character" w:customStyle="1" w:styleId="37">
    <w:name w:val="cur2"/>
    <w:basedOn w:val="4"/>
    <w:uiPriority w:val="0"/>
    <w:rPr>
      <w:shd w:val="clear" w:fill="FF0000"/>
    </w:rPr>
  </w:style>
  <w:style w:type="character" w:customStyle="1" w:styleId="38">
    <w:name w:val="normal"/>
    <w:basedOn w:val="4"/>
    <w:uiPriority w:val="0"/>
    <w:rPr>
      <w:color w:val="FFFFFF"/>
    </w:rPr>
  </w:style>
  <w:style w:type="character" w:customStyle="1" w:styleId="39">
    <w:name w:val="normal1"/>
    <w:basedOn w:val="4"/>
    <w:uiPriority w:val="0"/>
    <w:rPr>
      <w:color w:val="FFFFFF"/>
    </w:rPr>
  </w:style>
  <w:style w:type="character" w:customStyle="1" w:styleId="40">
    <w:name w:val="normal2"/>
    <w:basedOn w:val="4"/>
    <w:uiPriority w:val="0"/>
    <w:rPr>
      <w:color w:val="000000"/>
    </w:rPr>
  </w:style>
  <w:style w:type="character" w:customStyle="1" w:styleId="41">
    <w:name w:val="more"/>
    <w:basedOn w:val="4"/>
    <w:uiPriority w:val="0"/>
    <w:rPr>
      <w:color w:val="666666"/>
      <w:sz w:val="18"/>
      <w:szCs w:val="18"/>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2016-08-05T06:44:58Z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