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rFonts w:hint="eastAsia" w:ascii="宋体" w:hAnsi="宋体" w:eastAsia="宋体" w:cs="宋体"/>
          <w:b/>
          <w:bCs/>
          <w:color w:val="auto"/>
        </w:rPr>
      </w:pPr>
      <w:r>
        <w:rPr>
          <w:rFonts w:hint="eastAsia" w:ascii="宋体" w:hAnsi="宋体" w:eastAsia="宋体" w:cs="宋体"/>
          <w:b/>
          <w:bCs/>
          <w:color w:val="auto"/>
        </w:rPr>
        <w:t>国家计委关于促进和引导民间投资的若干意见</w:t>
      </w:r>
    </w:p>
    <w:p>
      <w:pPr>
        <w:pStyle w:val="12"/>
        <w:jc w:val="center"/>
        <w:rPr>
          <w:rFonts w:hint="eastAsia" w:ascii="宋体" w:hAnsi="宋体" w:eastAsia="宋体" w:cs="宋体"/>
          <w:b/>
          <w:bCs/>
          <w:color w:val="auto"/>
        </w:rPr>
      </w:pPr>
      <w:r>
        <w:rPr>
          <w:rFonts w:hint="eastAsia" w:ascii="宋体" w:hAnsi="宋体" w:eastAsia="宋体" w:cs="宋体"/>
          <w:b/>
          <w:bCs/>
          <w:color w:val="auto"/>
        </w:rPr>
        <w:t>【计投资[2001]2653号】</w:t>
      </w:r>
    </w:p>
    <w:p>
      <w:pPr>
        <w:pStyle w:val="12"/>
        <w:jc w:val="center"/>
        <w:rPr>
          <w:rFonts w:hint="eastAsia" w:ascii="宋体" w:hAnsi="宋体" w:eastAsia="宋体" w:cs="宋体"/>
          <w:b/>
          <w:bCs/>
          <w:color w:val="auto"/>
        </w:rPr>
      </w:pPr>
    </w:p>
    <w:p>
      <w:pPr>
        <w:pStyle w:val="12"/>
        <w:rPr>
          <w:rFonts w:hint="eastAsia" w:ascii="宋体" w:hAnsi="宋体" w:eastAsia="宋体" w:cs="宋体"/>
          <w:color w:val="auto"/>
        </w:rPr>
      </w:pPr>
      <w:r>
        <w:rPr>
          <w:rFonts w:hint="eastAsia" w:ascii="宋体" w:hAnsi="宋体" w:eastAsia="宋体" w:cs="宋体"/>
          <w:color w:val="auto"/>
        </w:rPr>
        <w:t>各省、自治区、</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"http://so.findlaw.cn/cse/search?s=5951707868767694152&amp;entry=1&amp;q=%E7%9B%B4%E8%BE%96%E5%B8%82" \t "http://china.findlaw.cn/fagui/p_1/_blank" </w:instrText>
      </w:r>
      <w:r>
        <w:rPr>
          <w:rFonts w:hint="eastAsia" w:ascii="宋体" w:hAnsi="宋体" w:eastAsia="宋体" w:cs="宋体"/>
          <w:color w:val="auto"/>
        </w:rPr>
        <w:fldChar w:fldCharType="separate"/>
      </w:r>
      <w:r>
        <w:rPr>
          <w:rStyle w:val="8"/>
          <w:rFonts w:hint="eastAsia" w:ascii="宋体" w:hAnsi="宋体" w:eastAsia="宋体" w:cs="宋体"/>
          <w:color w:val="auto"/>
          <w:szCs w:val="24"/>
          <w:shd w:val="clear" w:fill="FFFFFF"/>
        </w:rPr>
        <w:t>直辖市</w:t>
      </w:r>
      <w:r>
        <w:rPr>
          <w:rFonts w:hint="eastAsia" w:ascii="宋体" w:hAnsi="宋体" w:eastAsia="宋体" w:cs="宋体"/>
          <w:color w:val="auto"/>
        </w:rPr>
        <w:fldChar w:fldCharType="end"/>
      </w:r>
      <w:r>
        <w:rPr>
          <w:rFonts w:hint="eastAsia" w:ascii="宋体" w:hAnsi="宋体" w:eastAsia="宋体" w:cs="宋体"/>
          <w:color w:val="auto"/>
        </w:rPr>
        <w:t>及</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"http://so.findlaw.cn/cse/search?s=5951707868767694152&amp;entry=1&amp;q=%E8%AE%A1%E5%88%92%E5%8D%95%E5%88%97%E5%B8%82" \t "http://china.findlaw.cn/fagui/p_1/_blank" </w:instrText>
      </w:r>
      <w:r>
        <w:rPr>
          <w:rFonts w:hint="eastAsia" w:ascii="宋体" w:hAnsi="宋体" w:eastAsia="宋体" w:cs="宋体"/>
          <w:color w:val="auto"/>
        </w:rPr>
        <w:fldChar w:fldCharType="separate"/>
      </w:r>
      <w:r>
        <w:rPr>
          <w:rStyle w:val="8"/>
          <w:rFonts w:hint="eastAsia" w:ascii="宋体" w:hAnsi="宋体" w:eastAsia="宋体" w:cs="宋体"/>
          <w:color w:val="auto"/>
          <w:szCs w:val="24"/>
          <w:shd w:val="clear" w:fill="FFFFFF"/>
        </w:rPr>
        <w:t>计划单列市</w:t>
      </w:r>
      <w:r>
        <w:rPr>
          <w:rFonts w:hint="eastAsia" w:ascii="宋体" w:hAnsi="宋体" w:eastAsia="宋体" w:cs="宋体"/>
          <w:color w:val="auto"/>
        </w:rPr>
        <w:fldChar w:fldCharType="end"/>
      </w:r>
      <w:r>
        <w:rPr>
          <w:rFonts w:hint="eastAsia" w:ascii="宋体" w:hAnsi="宋体" w:eastAsia="宋体" w:cs="宋体"/>
          <w:color w:val="auto"/>
        </w:rPr>
        <w:t>、副省级省会城市计委，</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"http://so.findlaw.cn/cse/search?s=5951707868767694152&amp;entry=1&amp;q=%E5%9B%BD%E5%8A%A1%E9%99%A2" \t "http://china.findlaw.cn/fagui/p_1/_blank" </w:instrText>
      </w:r>
      <w:r>
        <w:rPr>
          <w:rFonts w:hint="eastAsia" w:ascii="宋体" w:hAnsi="宋体" w:eastAsia="宋体" w:cs="宋体"/>
          <w:color w:val="auto"/>
        </w:rPr>
        <w:fldChar w:fldCharType="separate"/>
      </w:r>
      <w:r>
        <w:rPr>
          <w:rStyle w:val="8"/>
          <w:rFonts w:hint="eastAsia" w:ascii="宋体" w:hAnsi="宋体" w:eastAsia="宋体" w:cs="宋体"/>
          <w:color w:val="auto"/>
          <w:szCs w:val="24"/>
          <w:shd w:val="clear" w:fill="FFFFFF"/>
        </w:rPr>
        <w:t>国务院</w:t>
      </w:r>
      <w:r>
        <w:rPr>
          <w:rFonts w:hint="eastAsia" w:ascii="宋体" w:hAnsi="宋体" w:eastAsia="宋体" w:cs="宋体"/>
          <w:color w:val="auto"/>
        </w:rPr>
        <w:fldChar w:fldCharType="end"/>
      </w:r>
      <w:r>
        <w:rPr>
          <w:rFonts w:hint="eastAsia" w:ascii="宋体" w:hAnsi="宋体" w:eastAsia="宋体" w:cs="宋体"/>
          <w:color w:val="auto"/>
        </w:rPr>
        <w:t>各部委、各直属机构：</w:t>
      </w:r>
    </w:p>
    <w:p>
      <w:pPr>
        <w:pStyle w:val="12"/>
        <w:rPr>
          <w:rFonts w:hint="eastAsia" w:ascii="宋体" w:hAnsi="宋体" w:eastAsia="宋体" w:cs="宋体"/>
          <w:color w:val="auto"/>
        </w:rPr>
      </w:pPr>
      <w:r>
        <w:rPr>
          <w:rFonts w:hint="eastAsia" w:ascii="宋体" w:hAnsi="宋体" w:eastAsia="宋体" w:cs="宋体"/>
          <w:color w:val="auto"/>
        </w:rPr>
        <w:t>按照江泽民总书记“七?一”重要讲话和“三个代表”重要思想的要求，为了建立和完善</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"http://so.findlaw.cn/cse/search?s=5951707868767694152&amp;entry=1&amp;q=%E7%A4%BE%E4%BC%9A%E4%B8%BB%E4%B9%89%E5%B8%82%E5%9C%BA%E7%BB%8F%E6%B5%8E%E4%BD%93%E5%88%B6" \t "http://china.findlaw.cn/fagui/p_1/_blank" </w:instrText>
      </w:r>
      <w:r>
        <w:rPr>
          <w:rFonts w:hint="eastAsia" w:ascii="宋体" w:hAnsi="宋体" w:eastAsia="宋体" w:cs="宋体"/>
          <w:color w:val="auto"/>
        </w:rPr>
        <w:fldChar w:fldCharType="separate"/>
      </w:r>
      <w:r>
        <w:rPr>
          <w:rStyle w:val="8"/>
          <w:rFonts w:hint="eastAsia" w:ascii="宋体" w:hAnsi="宋体" w:eastAsia="宋体" w:cs="宋体"/>
          <w:color w:val="auto"/>
          <w:szCs w:val="24"/>
          <w:shd w:val="clear" w:fill="FFFFFF"/>
        </w:rPr>
        <w:t>社会主义市场经济体制</w:t>
      </w:r>
      <w:r>
        <w:rPr>
          <w:rFonts w:hint="eastAsia" w:ascii="宋体" w:hAnsi="宋体" w:eastAsia="宋体" w:cs="宋体"/>
          <w:color w:val="auto"/>
        </w:rPr>
        <w:fldChar w:fldCharType="end"/>
      </w:r>
      <w:r>
        <w:rPr>
          <w:rFonts w:hint="eastAsia" w:ascii="宋体" w:hAnsi="宋体" w:eastAsia="宋体" w:cs="宋体"/>
          <w:color w:val="auto"/>
        </w:rPr>
        <w:t>，保持</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"http://so.findlaw.cn/cse/search?s=5951707868767694152&amp;entry=1&amp;q=%E5%9B%BD%E6%B0%91%E7%BB%8F%E6%B5%8E" \t "http://china.findlaw.cn/fagui/p_1/_blank" </w:instrText>
      </w:r>
      <w:r>
        <w:rPr>
          <w:rFonts w:hint="eastAsia" w:ascii="宋体" w:hAnsi="宋体" w:eastAsia="宋体" w:cs="宋体"/>
          <w:color w:val="auto"/>
        </w:rPr>
        <w:fldChar w:fldCharType="separate"/>
      </w:r>
      <w:r>
        <w:rPr>
          <w:rStyle w:val="8"/>
          <w:rFonts w:hint="eastAsia" w:ascii="宋体" w:hAnsi="宋体" w:eastAsia="宋体" w:cs="宋体"/>
          <w:color w:val="auto"/>
          <w:szCs w:val="24"/>
          <w:shd w:val="clear" w:fill="FFFFFF"/>
        </w:rPr>
        <w:t>国民经济</w:t>
      </w:r>
      <w:r>
        <w:rPr>
          <w:rFonts w:hint="eastAsia" w:ascii="宋体" w:hAnsi="宋体" w:eastAsia="宋体" w:cs="宋体"/>
          <w:color w:val="auto"/>
        </w:rPr>
        <w:fldChar w:fldCharType="end"/>
      </w:r>
      <w:r>
        <w:rPr>
          <w:rFonts w:hint="eastAsia" w:ascii="宋体" w:hAnsi="宋体" w:eastAsia="宋体" w:cs="宋体"/>
          <w:color w:val="auto"/>
        </w:rPr>
        <w:t>持续稳定健康发展，我委制定了《关于促进和引导</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"http://so.findlaw.cn/cse/search?s=5951707868767694152&amp;entry=1&amp;q=%E6%B0%91%E9%97%B4%E6%8A%95%E8%B5%84" \t "http://china.findlaw.cn/fagui/p_1/_blank" </w:instrText>
      </w:r>
      <w:r>
        <w:rPr>
          <w:rFonts w:hint="eastAsia" w:ascii="宋体" w:hAnsi="宋体" w:eastAsia="宋体" w:cs="宋体"/>
          <w:color w:val="auto"/>
        </w:rPr>
        <w:fldChar w:fldCharType="separate"/>
      </w:r>
      <w:r>
        <w:rPr>
          <w:rStyle w:val="8"/>
          <w:rFonts w:hint="eastAsia" w:ascii="宋体" w:hAnsi="宋体" w:eastAsia="宋体" w:cs="宋体"/>
          <w:color w:val="auto"/>
          <w:szCs w:val="24"/>
          <w:shd w:val="clear" w:fill="FFFFFF"/>
        </w:rPr>
        <w:t>民间投资</w:t>
      </w:r>
      <w:r>
        <w:rPr>
          <w:rFonts w:hint="eastAsia" w:ascii="宋体" w:hAnsi="宋体" w:eastAsia="宋体" w:cs="宋体"/>
          <w:color w:val="auto"/>
        </w:rPr>
        <w:fldChar w:fldCharType="end"/>
      </w:r>
      <w:r>
        <w:rPr>
          <w:rFonts w:hint="eastAsia" w:ascii="宋体" w:hAnsi="宋体" w:eastAsia="宋体" w:cs="宋体"/>
          <w:color w:val="auto"/>
        </w:rPr>
        <w:t>的若干意见》，现印发给你们。请根据本地区、本部门民间投资发展的现状和特点，制定和实施符合本地区、本部门实际的</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"http://so.findlaw.cn/cse/search?s=5951707868767694152&amp;entry=1&amp;q=%E5%85%B7%E4%BD%93%E6%94%BF%E7%AD%96" \t "http://china.findlaw.cn/fagui/p_1/_blank" </w:instrText>
      </w:r>
      <w:r>
        <w:rPr>
          <w:rFonts w:hint="eastAsia" w:ascii="宋体" w:hAnsi="宋体" w:eastAsia="宋体" w:cs="宋体"/>
          <w:color w:val="auto"/>
        </w:rPr>
        <w:fldChar w:fldCharType="separate"/>
      </w:r>
      <w:r>
        <w:rPr>
          <w:rStyle w:val="8"/>
          <w:rFonts w:hint="eastAsia" w:ascii="宋体" w:hAnsi="宋体" w:eastAsia="宋体" w:cs="宋体"/>
          <w:color w:val="auto"/>
          <w:szCs w:val="24"/>
          <w:shd w:val="clear" w:fill="FFFFFF"/>
        </w:rPr>
        <w:t>具体政策</w:t>
      </w:r>
      <w:r>
        <w:rPr>
          <w:rFonts w:hint="eastAsia" w:ascii="宋体" w:hAnsi="宋体" w:eastAsia="宋体" w:cs="宋体"/>
          <w:color w:val="auto"/>
        </w:rPr>
        <w:fldChar w:fldCharType="end"/>
      </w:r>
      <w:r>
        <w:rPr>
          <w:rFonts w:hint="eastAsia" w:ascii="宋体" w:hAnsi="宋体" w:eastAsia="宋体" w:cs="宋体"/>
          <w:color w:val="auto"/>
        </w:rPr>
        <w:t>措施，努力做好民间投资的促进和引导工作。</w:t>
      </w:r>
    </w:p>
    <w:p>
      <w:pPr>
        <w:pStyle w:val="12"/>
        <w:rPr>
          <w:rFonts w:hint="eastAsia" w:ascii="宋体" w:hAnsi="宋体" w:eastAsia="宋体" w:cs="宋体"/>
          <w:color w:val="auto"/>
        </w:rPr>
      </w:pPr>
      <w:r>
        <w:rPr>
          <w:rFonts w:hint="eastAsia" w:ascii="宋体" w:hAnsi="宋体" w:eastAsia="宋体" w:cs="宋体"/>
          <w:color w:val="auto"/>
        </w:rPr>
        <w:t>附：《</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"http://so.findlaw.cn/cse/search?s=5951707868767694152&amp;entry=1&amp;q=%E5%9B%BD%E5%AE%B6%E8%AE%A1%E5%A7%94" \t "http://china.findlaw.cn/fagui/p_1/_blank" </w:instrText>
      </w:r>
      <w:r>
        <w:rPr>
          <w:rFonts w:hint="eastAsia" w:ascii="宋体" w:hAnsi="宋体" w:eastAsia="宋体" w:cs="宋体"/>
          <w:color w:val="auto"/>
        </w:rPr>
        <w:fldChar w:fldCharType="separate"/>
      </w:r>
      <w:r>
        <w:rPr>
          <w:rStyle w:val="8"/>
          <w:rFonts w:hint="eastAsia" w:ascii="宋体" w:hAnsi="宋体" w:eastAsia="宋体" w:cs="宋体"/>
          <w:color w:val="auto"/>
          <w:szCs w:val="24"/>
          <w:shd w:val="clear" w:fill="FFFFFF"/>
        </w:rPr>
        <w:t>国家计委</w:t>
      </w:r>
      <w:r>
        <w:rPr>
          <w:rFonts w:hint="eastAsia" w:ascii="宋体" w:hAnsi="宋体" w:eastAsia="宋体" w:cs="宋体"/>
          <w:color w:val="auto"/>
        </w:rPr>
        <w:fldChar w:fldCharType="end"/>
      </w:r>
      <w:r>
        <w:rPr>
          <w:rFonts w:hint="eastAsia" w:ascii="宋体" w:hAnsi="宋体" w:eastAsia="宋体" w:cs="宋体"/>
          <w:color w:val="auto"/>
        </w:rPr>
        <w:t>关于促进和引导民间投资的若干意见》</w:t>
      </w:r>
    </w:p>
    <w:p>
      <w:pPr>
        <w:pStyle w:val="12"/>
        <w:rPr>
          <w:rFonts w:hint="eastAsia" w:ascii="宋体" w:hAnsi="宋体" w:eastAsia="宋体" w:cs="宋体"/>
          <w:color w:val="auto"/>
        </w:rPr>
      </w:pPr>
    </w:p>
    <w:p>
      <w:pPr>
        <w:pStyle w:val="12"/>
        <w:rPr>
          <w:rFonts w:hint="eastAsia" w:ascii="宋体" w:hAnsi="宋体" w:eastAsia="宋体" w:cs="宋体"/>
          <w:color w:val="auto"/>
        </w:rPr>
      </w:pPr>
      <w:bookmarkStart w:id="0" w:name="_GoBack"/>
      <w:bookmarkEnd w:id="0"/>
    </w:p>
    <w:p>
      <w:pPr>
        <w:pStyle w:val="12"/>
        <w:jc w:val="right"/>
        <w:rPr>
          <w:rFonts w:hint="eastAsia" w:ascii="宋体" w:hAnsi="宋体" w:eastAsia="宋体" w:cs="宋体"/>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"http://so.findlaw.cn/cse/search?s=5951707868767694152&amp;entry=1&amp;q=%E4%B8%AD%E5%8D%8E%E4%BA%BA%E6%B0%91%E5%85%B1%E5%92%8C%E5%9B%BD" \t "http://china.findlaw.cn/fagui/p_1/_blank" </w:instrText>
      </w:r>
      <w:r>
        <w:rPr>
          <w:rFonts w:hint="eastAsia" w:ascii="宋体" w:hAnsi="宋体" w:eastAsia="宋体" w:cs="宋体"/>
          <w:color w:val="auto"/>
        </w:rPr>
        <w:fldChar w:fldCharType="separate"/>
      </w:r>
      <w:r>
        <w:rPr>
          <w:rStyle w:val="8"/>
          <w:rFonts w:hint="eastAsia" w:ascii="宋体" w:hAnsi="宋体" w:eastAsia="宋体" w:cs="宋体"/>
          <w:color w:val="auto"/>
          <w:szCs w:val="24"/>
          <w:shd w:val="clear" w:fill="FFFFFF"/>
        </w:rPr>
        <w:t>中华人民共和国</w:t>
      </w:r>
      <w:r>
        <w:rPr>
          <w:rFonts w:hint="eastAsia" w:ascii="宋体" w:hAnsi="宋体" w:eastAsia="宋体" w:cs="宋体"/>
          <w:color w:val="auto"/>
        </w:rPr>
        <w:fldChar w:fldCharType="end"/>
      </w:r>
      <w:r>
        <w:rPr>
          <w:rFonts w:hint="eastAsia" w:ascii="宋体" w:hAnsi="宋体" w:eastAsia="宋体" w:cs="宋体"/>
          <w:color w:val="auto"/>
        </w:rPr>
        <w:t>发展计划委员会</w:t>
      </w:r>
    </w:p>
    <w:p>
      <w:pPr>
        <w:pStyle w:val="12"/>
        <w:jc w:val="right"/>
        <w:rPr>
          <w:rFonts w:hint="eastAsia" w:ascii="宋体" w:hAnsi="宋体" w:eastAsia="宋体" w:cs="宋体"/>
          <w:color w:val="auto"/>
        </w:rPr>
      </w:pPr>
      <w:r>
        <w:rPr>
          <w:rFonts w:hint="eastAsia" w:ascii="宋体" w:hAnsi="宋体" w:eastAsia="宋体" w:cs="宋体"/>
          <w:color w:val="auto"/>
        </w:rPr>
        <w:t>二○○一年十二月十一日</w:t>
      </w:r>
    </w:p>
    <w:p>
      <w:pPr>
        <w:pStyle w:val="12"/>
        <w:jc w:val="right"/>
        <w:rPr>
          <w:rFonts w:hint="eastAsia" w:ascii="宋体" w:hAnsi="宋体" w:eastAsia="宋体" w:cs="宋体"/>
          <w:color w:val="auto"/>
        </w:rPr>
        <w:sectPr>
          <w:pgSz w:w="11906" w:h="16838"/>
          <w:pgMar w:top="1440" w:right="1800" w:bottom="1440" w:left="1800" w:header="851" w:footer="992" w:gutter="0"/>
          <w:cols w:space="425" w:num="1"/>
          <w:docGrid w:type="lines" w:linePitch="312" w:charSpace="0"/>
        </w:sectPr>
      </w:pPr>
    </w:p>
    <w:p>
      <w:pPr>
        <w:pStyle w:val="12"/>
        <w:ind w:left="0" w:leftChars="0" w:firstLine="0" w:firstLineChars="0"/>
        <w:rPr>
          <w:rFonts w:hint="eastAsia" w:ascii="宋体" w:hAnsi="宋体" w:eastAsia="宋体" w:cs="宋体"/>
          <w:color w:val="auto"/>
        </w:rPr>
      </w:pPr>
      <w:r>
        <w:rPr>
          <w:rFonts w:hint="eastAsia" w:ascii="宋体" w:hAnsi="宋体" w:eastAsia="宋体" w:cs="宋体"/>
          <w:color w:val="auto"/>
        </w:rPr>
        <w:t>附：国家计委关于促进和引导民间投资的若干意见</w:t>
      </w:r>
    </w:p>
    <w:p>
      <w:pPr>
        <w:pStyle w:val="12"/>
        <w:ind w:left="0" w:leftChars="0" w:firstLine="0" w:firstLineChars="0"/>
        <w:rPr>
          <w:rFonts w:hint="eastAsia" w:ascii="宋体" w:hAnsi="宋体" w:eastAsia="宋体" w:cs="宋体"/>
          <w:color w:val="auto"/>
        </w:rPr>
      </w:pPr>
    </w:p>
    <w:p>
      <w:pPr>
        <w:pStyle w:val="12"/>
        <w:rPr>
          <w:rFonts w:hint="eastAsia" w:ascii="宋体" w:hAnsi="宋体" w:eastAsia="宋体" w:cs="宋体"/>
          <w:color w:val="auto"/>
        </w:rPr>
      </w:pPr>
      <w:r>
        <w:rPr>
          <w:rFonts w:hint="eastAsia" w:ascii="宋体" w:hAnsi="宋体" w:eastAsia="宋体" w:cs="宋体"/>
          <w:color w:val="auto"/>
        </w:rPr>
        <w:t>实行改革开放以来，我国民间投资增长迅速，在发展经济、扩大就业、活跃市场和增加出口等方面发挥出日益重要的作用，已成为促进我国经济和社会发展的重要力量。近些年来，由于受政策、体制和市场环境以及民间投资者自身因素的制约，民间投资发展受到了一定的影响。为了充分调动和发挥民间投资者的积极性，支持民间投资健康发展，现对促进和引导民间投资的工作提出以下意见。</w:t>
      </w:r>
    </w:p>
    <w:p>
      <w:pPr>
        <w:pStyle w:val="12"/>
        <w:rPr>
          <w:rFonts w:hint="eastAsia" w:ascii="宋体" w:hAnsi="宋体" w:eastAsia="宋体" w:cs="宋体"/>
          <w:color w:val="auto"/>
        </w:rPr>
      </w:pPr>
    </w:p>
    <w:p>
      <w:pPr>
        <w:pStyle w:val="12"/>
        <w:numPr>
          <w:ilvl w:val="0"/>
          <w:numId w:val="1"/>
        </w:numPr>
        <w:rPr>
          <w:rFonts w:hint="eastAsia" w:ascii="宋体" w:hAnsi="宋体" w:eastAsia="宋体" w:cs="宋体"/>
          <w:color w:val="auto"/>
        </w:rPr>
      </w:pPr>
      <w:r>
        <w:rPr>
          <w:rFonts w:hint="eastAsia" w:ascii="宋体" w:hAnsi="宋体" w:eastAsia="宋体" w:cs="宋体"/>
          <w:color w:val="auto"/>
        </w:rPr>
        <w:t>进一步转变思想观念，促进民间投资的发展。促进和引导民间投资，有利于</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"http://so.findlaw.cn/cse/search?s=5951707868767694152&amp;entry=1&amp;q=%E6%89%A9%E5%A4%A7%E5%86%85%E9%9C%80" \t "http://china.findlaw.cn/fagui/p_1/_blank" </w:instrText>
      </w:r>
      <w:r>
        <w:rPr>
          <w:rFonts w:hint="eastAsia" w:ascii="宋体" w:hAnsi="宋体" w:eastAsia="宋体" w:cs="宋体"/>
          <w:color w:val="auto"/>
        </w:rPr>
        <w:fldChar w:fldCharType="separate"/>
      </w:r>
      <w:r>
        <w:rPr>
          <w:rStyle w:val="8"/>
          <w:rFonts w:hint="eastAsia" w:ascii="宋体" w:hAnsi="宋体" w:eastAsia="宋体" w:cs="宋体"/>
          <w:color w:val="auto"/>
          <w:szCs w:val="24"/>
          <w:shd w:val="clear" w:fill="FFFFFF"/>
        </w:rPr>
        <w:t>扩大内需</w:t>
      </w:r>
      <w:r>
        <w:rPr>
          <w:rFonts w:hint="eastAsia" w:ascii="宋体" w:hAnsi="宋体" w:eastAsia="宋体" w:cs="宋体"/>
          <w:color w:val="auto"/>
        </w:rPr>
        <w:fldChar w:fldCharType="end"/>
      </w:r>
      <w:r>
        <w:rPr>
          <w:rFonts w:hint="eastAsia" w:ascii="宋体" w:hAnsi="宋体" w:eastAsia="宋体" w:cs="宋体"/>
          <w:color w:val="auto"/>
        </w:rPr>
        <w:t>，保持经济持续增长；有利于增加就业和繁荣市场，提高人民生活水平；有利于适应加入</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"http://so.findlaw.cn/cse/search?s=5951707868767694152&amp;entry=1&amp;q=%E4%B8%96%E7%95%8C%E8%B4%B8%E6%98%93%E7%BB%84%E7%BB%87" \t "http://china.findlaw.cn/fagui/p_1/_blank" </w:instrText>
      </w:r>
      <w:r>
        <w:rPr>
          <w:rFonts w:hint="eastAsia" w:ascii="宋体" w:hAnsi="宋体" w:eastAsia="宋体" w:cs="宋体"/>
          <w:color w:val="auto"/>
        </w:rPr>
        <w:fldChar w:fldCharType="separate"/>
      </w:r>
      <w:r>
        <w:rPr>
          <w:rStyle w:val="8"/>
          <w:rFonts w:hint="eastAsia" w:ascii="宋体" w:hAnsi="宋体" w:eastAsia="宋体" w:cs="宋体"/>
          <w:color w:val="auto"/>
          <w:szCs w:val="24"/>
          <w:shd w:val="clear" w:fill="FFFFFF"/>
        </w:rPr>
        <w:t>世界贸易组织</w:t>
      </w:r>
      <w:r>
        <w:rPr>
          <w:rFonts w:hint="eastAsia" w:ascii="宋体" w:hAnsi="宋体" w:eastAsia="宋体" w:cs="宋体"/>
          <w:color w:val="auto"/>
        </w:rPr>
        <w:fldChar w:fldCharType="end"/>
      </w:r>
      <w:r>
        <w:rPr>
          <w:rFonts w:hint="eastAsia" w:ascii="宋体" w:hAnsi="宋体" w:eastAsia="宋体" w:cs="宋体"/>
          <w:color w:val="auto"/>
        </w:rPr>
        <w:t>的要求，提高国民经济整体素质；有利于推动所有制结构调整，促进社会主义市场经济体制的建立和完善。各地区、各有关部门要以</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"http://so.findlaw.cn/cse/search?s=5951707868767694152&amp;entry=1&amp;q=%E9%82%93%E5%B0%8F%E5%B9%B3%E7%90%86%E8%AE%BA" \t "http://china.findlaw.cn/fagui/p_1/_blank" </w:instrText>
      </w:r>
      <w:r>
        <w:rPr>
          <w:rFonts w:hint="eastAsia" w:ascii="宋体" w:hAnsi="宋体" w:eastAsia="宋体" w:cs="宋体"/>
          <w:color w:val="auto"/>
        </w:rPr>
        <w:fldChar w:fldCharType="separate"/>
      </w:r>
      <w:r>
        <w:rPr>
          <w:rStyle w:val="8"/>
          <w:rFonts w:hint="eastAsia" w:ascii="宋体" w:hAnsi="宋体" w:eastAsia="宋体" w:cs="宋体"/>
          <w:color w:val="auto"/>
          <w:szCs w:val="24"/>
          <w:shd w:val="clear" w:fill="FFFFFF"/>
        </w:rPr>
        <w:t>邓小平理论</w:t>
      </w:r>
      <w:r>
        <w:rPr>
          <w:rFonts w:hint="eastAsia" w:ascii="宋体" w:hAnsi="宋体" w:eastAsia="宋体" w:cs="宋体"/>
          <w:color w:val="auto"/>
        </w:rPr>
        <w:fldChar w:fldCharType="end"/>
      </w:r>
      <w:r>
        <w:rPr>
          <w:rFonts w:hint="eastAsia" w:ascii="宋体" w:hAnsi="宋体" w:eastAsia="宋体" w:cs="宋体"/>
          <w:color w:val="auto"/>
        </w:rPr>
        <w:t>和党的十五大精神为指导，按照江泽民总书记“七?一”重要讲话和“三个代表”重要思想的要求，充分认识个体、私营等</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"http://so.findlaw.cn/cse/search?s=5951707868767694152&amp;entry=1&amp;q=%E9%9D%9E%E5%85%AC%E6%9C%89%E5%88%B6%E7%BB%8F%E6%B5%8E" \t "http://china.findlaw.cn/fagui/p_1/_blank" </w:instrText>
      </w:r>
      <w:r>
        <w:rPr>
          <w:rFonts w:hint="eastAsia" w:ascii="宋体" w:hAnsi="宋体" w:eastAsia="宋体" w:cs="宋体"/>
          <w:color w:val="auto"/>
        </w:rPr>
        <w:fldChar w:fldCharType="separate"/>
      </w:r>
      <w:r>
        <w:rPr>
          <w:rStyle w:val="8"/>
          <w:rFonts w:hint="eastAsia" w:ascii="宋体" w:hAnsi="宋体" w:eastAsia="宋体" w:cs="宋体"/>
          <w:color w:val="auto"/>
          <w:szCs w:val="24"/>
          <w:shd w:val="clear" w:fill="FFFFFF"/>
        </w:rPr>
        <w:t>非公有制经济</w:t>
      </w:r>
      <w:r>
        <w:rPr>
          <w:rFonts w:hint="eastAsia" w:ascii="宋体" w:hAnsi="宋体" w:eastAsia="宋体" w:cs="宋体"/>
          <w:color w:val="auto"/>
        </w:rPr>
        <w:fldChar w:fldCharType="end"/>
      </w:r>
      <w:r>
        <w:rPr>
          <w:rFonts w:hint="eastAsia" w:ascii="宋体" w:hAnsi="宋体" w:eastAsia="宋体" w:cs="宋体"/>
          <w:color w:val="auto"/>
        </w:rPr>
        <w:t>是社会主义市场经济的重要组成部分，以及促进和引导民间投资对保持国民经济持续稳定健康发展的重要性。要根据建立社会主义市场经济体制的需要制定相应的政策，改进管理方法，为民间投资者营造公平竞争的发展环境。要进一步完善法律法规，依法保护民间投资者的合法权益。</w:t>
      </w:r>
    </w:p>
    <w:p>
      <w:pPr>
        <w:pStyle w:val="12"/>
        <w:numPr>
          <w:ilvl w:val="0"/>
          <w:numId w:val="1"/>
        </w:numPr>
        <w:rPr>
          <w:rFonts w:hint="eastAsia" w:ascii="宋体" w:hAnsi="宋体" w:eastAsia="宋体" w:cs="宋体"/>
          <w:color w:val="auto"/>
        </w:rPr>
      </w:pPr>
    </w:p>
    <w:p>
      <w:pPr>
        <w:pStyle w:val="12"/>
        <w:numPr>
          <w:ilvl w:val="0"/>
          <w:numId w:val="2"/>
        </w:numPr>
        <w:rPr>
          <w:rFonts w:hint="eastAsia" w:ascii="宋体" w:hAnsi="宋体" w:eastAsia="宋体" w:cs="宋体"/>
          <w:color w:val="auto"/>
        </w:rPr>
      </w:pPr>
      <w:r>
        <w:rPr>
          <w:rFonts w:hint="eastAsia" w:ascii="宋体" w:hAnsi="宋体" w:eastAsia="宋体" w:cs="宋体"/>
          <w:color w:val="auto"/>
        </w:rPr>
        <w:t>逐步放宽投资领域。除国家有特殊规定的以外，凡是鼓励和允许外商投资进入的领域，均鼓励和允许民间投资进入；在实行优惠政策的投资领域，其优惠政策对民间投资同样适用；鼓励和引导民间投资以独资、合作、联营、参股、</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"http://so.findlaw.cn/cse/search?s=5951707868767694152&amp;entry=1&amp;q=%E7%89%B9%E8%AE%B8%E7%BB%8F%E8%90%A5" \t "http://china.findlaw.cn/fagui/p_1/_blank" </w:instrText>
      </w:r>
      <w:r>
        <w:rPr>
          <w:rFonts w:hint="eastAsia" w:ascii="宋体" w:hAnsi="宋体" w:eastAsia="宋体" w:cs="宋体"/>
          <w:color w:val="auto"/>
        </w:rPr>
        <w:fldChar w:fldCharType="separate"/>
      </w:r>
      <w:r>
        <w:rPr>
          <w:rStyle w:val="8"/>
          <w:rFonts w:hint="eastAsia" w:ascii="宋体" w:hAnsi="宋体" w:eastAsia="宋体" w:cs="宋体"/>
          <w:color w:val="auto"/>
          <w:szCs w:val="24"/>
          <w:shd w:val="clear" w:fill="FFFFFF"/>
        </w:rPr>
        <w:t>特许经营</w:t>
      </w:r>
      <w:r>
        <w:rPr>
          <w:rFonts w:hint="eastAsia" w:ascii="宋体" w:hAnsi="宋体" w:eastAsia="宋体" w:cs="宋体"/>
          <w:color w:val="auto"/>
        </w:rPr>
        <w:fldChar w:fldCharType="end"/>
      </w:r>
      <w:r>
        <w:rPr>
          <w:rFonts w:hint="eastAsia" w:ascii="宋体" w:hAnsi="宋体" w:eastAsia="宋体" w:cs="宋体"/>
          <w:color w:val="auto"/>
        </w:rPr>
        <w:t>等方式，参与经营性的基础设施和公益事业项目建设。近期要积极创造条件，尽快建立</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"http://so.findlaw.cn/cse/search?s=5951707868767694152&amp;entry=1&amp;q=%E5%85%AC%E5%85%B1%E4%BA%A7%E5%93%81" \t "http://china.findlaw.cn/fagui/p_1/_blank" </w:instrText>
      </w:r>
      <w:r>
        <w:rPr>
          <w:rFonts w:hint="eastAsia" w:ascii="宋体" w:hAnsi="宋体" w:eastAsia="宋体" w:cs="宋体"/>
          <w:color w:val="auto"/>
        </w:rPr>
        <w:fldChar w:fldCharType="separate"/>
      </w:r>
      <w:r>
        <w:rPr>
          <w:rStyle w:val="8"/>
          <w:rFonts w:hint="eastAsia" w:ascii="宋体" w:hAnsi="宋体" w:eastAsia="宋体" w:cs="宋体"/>
          <w:color w:val="auto"/>
          <w:szCs w:val="24"/>
          <w:shd w:val="clear" w:fill="FFFFFF"/>
        </w:rPr>
        <w:t>公共产品</w:t>
      </w:r>
      <w:r>
        <w:rPr>
          <w:rFonts w:hint="eastAsia" w:ascii="宋体" w:hAnsi="宋体" w:eastAsia="宋体" w:cs="宋体"/>
          <w:color w:val="auto"/>
        </w:rPr>
        <w:fldChar w:fldCharType="end"/>
      </w:r>
      <w:r>
        <w:rPr>
          <w:rFonts w:hint="eastAsia" w:ascii="宋体" w:hAnsi="宋体" w:eastAsia="宋体" w:cs="宋体"/>
          <w:color w:val="auto"/>
        </w:rPr>
        <w:t>的合理价格、税收机制，在政府的</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"http://so.findlaw.cn/cse/search?s=5951707868767694152&amp;entry=1&amp;q=%E5%AE%8F%E8%A7%82%E8%B0%83%E6%8E%A7" \t "http://china.findlaw.cn/fagui/p_1/_blank" </w:instrText>
      </w:r>
      <w:r>
        <w:rPr>
          <w:rFonts w:hint="eastAsia" w:ascii="宋体" w:hAnsi="宋体" w:eastAsia="宋体" w:cs="宋体"/>
          <w:color w:val="auto"/>
        </w:rPr>
        <w:fldChar w:fldCharType="separate"/>
      </w:r>
      <w:r>
        <w:rPr>
          <w:rStyle w:val="8"/>
          <w:rFonts w:hint="eastAsia" w:ascii="宋体" w:hAnsi="宋体" w:eastAsia="宋体" w:cs="宋体"/>
          <w:color w:val="auto"/>
          <w:szCs w:val="24"/>
          <w:shd w:val="clear" w:fill="FFFFFF"/>
        </w:rPr>
        <w:t>宏观调控</w:t>
      </w:r>
      <w:r>
        <w:rPr>
          <w:rFonts w:hint="eastAsia" w:ascii="宋体" w:hAnsi="宋体" w:eastAsia="宋体" w:cs="宋体"/>
          <w:color w:val="auto"/>
        </w:rPr>
        <w:fldChar w:fldCharType="end"/>
      </w:r>
      <w:r>
        <w:rPr>
          <w:rFonts w:hint="eastAsia" w:ascii="宋体" w:hAnsi="宋体" w:eastAsia="宋体" w:cs="宋体"/>
          <w:color w:val="auto"/>
        </w:rPr>
        <w:t>下，鼓励和引导民间投资参与供水、污水和</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"http://so.findlaw.cn/cse/search?s=5951707868767694152&amp;entry=1&amp;q=%E5%9E%83%E5%9C%BE%E5%A4%84%E7%90%86" \t "http://china.findlaw.cn/fagui/p_1/_blank" </w:instrText>
      </w:r>
      <w:r>
        <w:rPr>
          <w:rFonts w:hint="eastAsia" w:ascii="宋体" w:hAnsi="宋体" w:eastAsia="宋体" w:cs="宋体"/>
          <w:color w:val="auto"/>
        </w:rPr>
        <w:fldChar w:fldCharType="separate"/>
      </w:r>
      <w:r>
        <w:rPr>
          <w:rStyle w:val="8"/>
          <w:rFonts w:hint="eastAsia" w:ascii="宋体" w:hAnsi="宋体" w:eastAsia="宋体" w:cs="宋体"/>
          <w:color w:val="auto"/>
          <w:szCs w:val="24"/>
          <w:shd w:val="clear" w:fill="FFFFFF"/>
        </w:rPr>
        <w:t>垃圾处理</w:t>
      </w:r>
      <w:r>
        <w:rPr>
          <w:rFonts w:hint="eastAsia" w:ascii="宋体" w:hAnsi="宋体" w:eastAsia="宋体" w:cs="宋体"/>
          <w:color w:val="auto"/>
        </w:rPr>
        <w:fldChar w:fldCharType="end"/>
      </w:r>
      <w:r>
        <w:rPr>
          <w:rFonts w:hint="eastAsia" w:ascii="宋体" w:hAnsi="宋体" w:eastAsia="宋体" w:cs="宋体"/>
          <w:color w:val="auto"/>
        </w:rPr>
        <w:t>、道路、桥梁等城市基础设施建设。鼓励有条件的民间投资者到</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"http://so.findlaw.cn/cse/search?s=5951707868767694152&amp;entry=1&amp;q=%E5%A2%83%E5%A4%96%E6%8A%95%E8%B5%84" \t "http://china.findlaw.cn/fagui/p_1/_blank" </w:instrText>
      </w:r>
      <w:r>
        <w:rPr>
          <w:rFonts w:hint="eastAsia" w:ascii="宋体" w:hAnsi="宋体" w:eastAsia="宋体" w:cs="宋体"/>
          <w:color w:val="auto"/>
        </w:rPr>
        <w:fldChar w:fldCharType="separate"/>
      </w:r>
      <w:r>
        <w:rPr>
          <w:rStyle w:val="8"/>
          <w:rFonts w:hint="eastAsia" w:ascii="宋体" w:hAnsi="宋体" w:eastAsia="宋体" w:cs="宋体"/>
          <w:color w:val="auto"/>
          <w:szCs w:val="24"/>
          <w:shd w:val="clear" w:fill="FFFFFF"/>
        </w:rPr>
        <w:t>境外投资</w:t>
      </w:r>
      <w:r>
        <w:rPr>
          <w:rFonts w:hint="eastAsia" w:ascii="宋体" w:hAnsi="宋体" w:eastAsia="宋体" w:cs="宋体"/>
          <w:color w:val="auto"/>
        </w:rPr>
        <w:fldChar w:fldCharType="end"/>
      </w:r>
      <w:r>
        <w:rPr>
          <w:rFonts w:hint="eastAsia" w:ascii="宋体" w:hAnsi="宋体" w:eastAsia="宋体" w:cs="宋体"/>
          <w:color w:val="auto"/>
        </w:rPr>
        <w:t>。</w:t>
      </w:r>
    </w:p>
    <w:p>
      <w:pPr>
        <w:pStyle w:val="12"/>
        <w:numPr>
          <w:ilvl w:val="0"/>
          <w:numId w:val="2"/>
        </w:numPr>
        <w:rPr>
          <w:rFonts w:hint="eastAsia" w:ascii="宋体" w:hAnsi="宋体" w:eastAsia="宋体" w:cs="宋体"/>
          <w:color w:val="auto"/>
        </w:rPr>
      </w:pPr>
    </w:p>
    <w:p>
      <w:pPr>
        <w:pStyle w:val="12"/>
        <w:rPr>
          <w:rFonts w:hint="eastAsia" w:ascii="宋体" w:hAnsi="宋体" w:eastAsia="宋体" w:cs="宋体"/>
          <w:color w:val="auto"/>
        </w:rPr>
      </w:pPr>
      <w:r>
        <w:rPr>
          <w:rFonts w:hint="eastAsia" w:ascii="宋体" w:hAnsi="宋体" w:eastAsia="宋体" w:cs="宋体"/>
          <w:color w:val="auto"/>
        </w:rPr>
        <w:t>三、积极拓宽融资渠道。</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"http://so.findlaw.cn/cse/search?s=5951707868767694152&amp;entry=1&amp;q=%E5%9B%BD%E6%9C%89%E5%95%86%E4%B8%9A%E9%93%B6%E8%A1%8C" \t "http://china.findlaw.cn/fagui/p_1/_blank" </w:instrText>
      </w:r>
      <w:r>
        <w:rPr>
          <w:rFonts w:hint="eastAsia" w:ascii="宋体" w:hAnsi="宋体" w:eastAsia="宋体" w:cs="宋体"/>
          <w:color w:val="auto"/>
        </w:rPr>
        <w:fldChar w:fldCharType="separate"/>
      </w:r>
      <w:r>
        <w:rPr>
          <w:rStyle w:val="8"/>
          <w:rFonts w:hint="eastAsia" w:ascii="宋体" w:hAnsi="宋体" w:eastAsia="宋体" w:cs="宋体"/>
          <w:color w:val="auto"/>
          <w:szCs w:val="24"/>
          <w:shd w:val="clear" w:fill="FFFFFF"/>
        </w:rPr>
        <w:t>国有商业银行</w:t>
      </w:r>
      <w:r>
        <w:rPr>
          <w:rFonts w:hint="eastAsia" w:ascii="宋体" w:hAnsi="宋体" w:eastAsia="宋体" w:cs="宋体"/>
          <w:color w:val="auto"/>
        </w:rPr>
        <w:fldChar w:fldCharType="end"/>
      </w:r>
      <w:r>
        <w:rPr>
          <w:rFonts w:hint="eastAsia" w:ascii="宋体" w:hAnsi="宋体" w:eastAsia="宋体" w:cs="宋体"/>
          <w:color w:val="auto"/>
        </w:rPr>
        <w:t>要把支持民间投资作为信贷工作的重要内容，完善机构设置，明确工作职责，充实信贷人员，制定有针对性的贷款政策和管理办法；要增强</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"http://so.findlaw.cn/cse/search?s=5951707868767694152&amp;entry=1&amp;q=%E6%9C%8D%E5%8A%A1%E6%84%8F%E8%AF%86" \t "http://china.findlaw.cn/fagui/p_1/_blank" </w:instrText>
      </w:r>
      <w:r>
        <w:rPr>
          <w:rFonts w:hint="eastAsia" w:ascii="宋体" w:hAnsi="宋体" w:eastAsia="宋体" w:cs="宋体"/>
          <w:color w:val="auto"/>
        </w:rPr>
        <w:fldChar w:fldCharType="separate"/>
      </w:r>
      <w:r>
        <w:rPr>
          <w:rStyle w:val="8"/>
          <w:rFonts w:hint="eastAsia" w:ascii="宋体" w:hAnsi="宋体" w:eastAsia="宋体" w:cs="宋体"/>
          <w:color w:val="auto"/>
          <w:szCs w:val="24"/>
          <w:shd w:val="clear" w:fill="FFFFFF"/>
        </w:rPr>
        <w:t>服务意识</w:t>
      </w:r>
      <w:r>
        <w:rPr>
          <w:rFonts w:hint="eastAsia" w:ascii="宋体" w:hAnsi="宋体" w:eastAsia="宋体" w:cs="宋体"/>
          <w:color w:val="auto"/>
        </w:rPr>
        <w:fldChar w:fldCharType="end"/>
      </w:r>
      <w:r>
        <w:rPr>
          <w:rFonts w:hint="eastAsia" w:ascii="宋体" w:hAnsi="宋体" w:eastAsia="宋体" w:cs="宋体"/>
          <w:color w:val="auto"/>
        </w:rPr>
        <w:t>，增加服务品种，对民间投资者的贷款申请一视同仁；要帮助民间投资者建立规范的财务制度，增强信用意识，提供信息咨询和理财经验；要与民间投资者共同努力，严格防范金融风险。股份制商业银行、城市商业银行和农村信用合作社，应把民间投资者作为重要服务对象。鼓励建立为民间投资服务的信用担保和贷款担保机构。证券监管部门要在健全完善核准制的基础上，为民间投资项目上市融资提供平等的机会。</w:t>
      </w:r>
    </w:p>
    <w:p>
      <w:pPr>
        <w:pStyle w:val="12"/>
        <w:rPr>
          <w:rFonts w:hint="eastAsia" w:ascii="宋体" w:hAnsi="宋体" w:eastAsia="宋体" w:cs="宋体"/>
          <w:color w:val="auto"/>
        </w:rPr>
      </w:pPr>
      <w:r>
        <w:rPr>
          <w:rFonts w:hint="eastAsia" w:ascii="宋体" w:hAnsi="宋体" w:eastAsia="宋体" w:cs="宋体"/>
          <w:color w:val="auto"/>
        </w:rPr>
        <w:t>要积极稳妥地发展风险投资基金，为民间投资者进行高新技术项目投资提供资金支持。允许以技术要素等无形资产作价投资。支持民间投资者与外商合资合作。允许民间投资项目申请利用外国政府和国际金融机构贷款。</w:t>
      </w:r>
    </w:p>
    <w:p>
      <w:pPr>
        <w:pStyle w:val="12"/>
        <w:rPr>
          <w:rFonts w:hint="eastAsia" w:ascii="宋体" w:hAnsi="宋体" w:eastAsia="宋体" w:cs="宋体"/>
          <w:color w:val="auto"/>
        </w:rPr>
      </w:pPr>
    </w:p>
    <w:p>
      <w:pPr>
        <w:pStyle w:val="12"/>
        <w:numPr>
          <w:ilvl w:val="0"/>
          <w:numId w:val="2"/>
        </w:numPr>
        <w:ind w:firstLine="420" w:firstLineChars="200"/>
        <w:rPr>
          <w:rFonts w:hint="eastAsia" w:ascii="宋体" w:hAnsi="宋体" w:eastAsia="宋体" w:cs="宋体"/>
          <w:color w:val="auto"/>
        </w:rPr>
      </w:pPr>
      <w:r>
        <w:rPr>
          <w:rFonts w:hint="eastAsia" w:ascii="宋体" w:hAnsi="宋体" w:eastAsia="宋体" w:cs="宋体"/>
          <w:color w:val="auto"/>
        </w:rPr>
        <w:t>实行公平合理的税费政策。各地区、各有关部门，对与民间投资有关的税费科目要进行清理和规范，调整不公平的税赋，取消不合理的收费，切实减轻民间投资者的负担；对尚处于创业阶段的民间投资者可以给予一定的减免税支持；各级政府应积极创造条件，通过财政贴息、设立担保基金和投资补贴等形式，引导民间资本投向高新技术、基础设施和公益事业，支持民间投资者到西部地区投资。</w:t>
      </w:r>
    </w:p>
    <w:p>
      <w:pPr>
        <w:pStyle w:val="12"/>
        <w:numPr>
          <w:ilvl w:val="0"/>
          <w:numId w:val="2"/>
        </w:numPr>
        <w:ind w:firstLine="420" w:firstLineChars="200"/>
        <w:rPr>
          <w:rFonts w:hint="eastAsia" w:ascii="宋体" w:hAnsi="宋体" w:eastAsia="宋体" w:cs="宋体"/>
          <w:color w:val="auto"/>
        </w:rPr>
      </w:pPr>
    </w:p>
    <w:p>
      <w:pPr>
        <w:pStyle w:val="12"/>
        <w:numPr>
          <w:ilvl w:val="0"/>
          <w:numId w:val="3"/>
        </w:numPr>
        <w:rPr>
          <w:rFonts w:hint="eastAsia" w:ascii="宋体" w:hAnsi="宋体" w:eastAsia="宋体" w:cs="宋体"/>
          <w:color w:val="auto"/>
        </w:rPr>
      </w:pPr>
      <w:r>
        <w:rPr>
          <w:rFonts w:hint="eastAsia" w:ascii="宋体" w:hAnsi="宋体" w:eastAsia="宋体" w:cs="宋体"/>
          <w:color w:val="auto"/>
        </w:rPr>
        <w:t>建立社会化服务体系。鼓励建立为民间投资者服务的商会、行业协会等自律性组织，发展为民间投资者提供政策、法律、财会、技术、管理和市场信息等服务的中介组织，帮助民间投资者建立规范的产权制度、财会制度和人员培训制度。</w:t>
      </w:r>
    </w:p>
    <w:p>
      <w:pPr>
        <w:pStyle w:val="12"/>
        <w:numPr>
          <w:ilvl w:val="0"/>
          <w:numId w:val="3"/>
        </w:numPr>
        <w:rPr>
          <w:rFonts w:hint="eastAsia" w:ascii="宋体" w:hAnsi="宋体" w:eastAsia="宋体" w:cs="宋体"/>
          <w:color w:val="auto"/>
        </w:rPr>
      </w:pPr>
    </w:p>
    <w:p>
      <w:pPr>
        <w:pStyle w:val="12"/>
        <w:rPr>
          <w:rFonts w:hint="eastAsia" w:ascii="宋体" w:hAnsi="宋体" w:eastAsia="宋体" w:cs="宋体"/>
          <w:color w:val="auto"/>
        </w:rPr>
      </w:pPr>
      <w:r>
        <w:rPr>
          <w:rFonts w:hint="eastAsia" w:ascii="宋体" w:hAnsi="宋体" w:eastAsia="宋体" w:cs="宋体"/>
          <w:color w:val="auto"/>
        </w:rPr>
        <w:t>六、改进政府的管理工作。各级地方政府要把促进和引导民间投资纳入国民经济和社会发展规划，本着积极引导、热心服务、依法监管的原则，采取法律、经济和必要的行政手段，引导民间投资健康发展。要防止出现低水平重复建设，禁止从事破坏生态环境、浪费资源和危害劳动者人身安全的项目建设。同时，要加强税收征管和维护金融债权工作，依法打击偷逃税和逃废金融债务的行为。</w:t>
      </w:r>
    </w:p>
    <w:p>
      <w:pPr>
        <w:pStyle w:val="12"/>
        <w:rPr>
          <w:rFonts w:hint="eastAsia" w:ascii="宋体" w:hAnsi="宋体" w:eastAsia="宋体" w:cs="宋体"/>
          <w:color w:val="auto"/>
        </w:rPr>
      </w:pPr>
      <w:r>
        <w:rPr>
          <w:rFonts w:hint="eastAsia" w:ascii="宋体" w:hAnsi="宋体" w:eastAsia="宋体" w:cs="宋体"/>
          <w:color w:val="auto"/>
        </w:rPr>
        <w:t>对民间投资项目，政府主要从产业政策、城乡规划、环境保护、资源利用、土地使用和公共安全等方面进行审核；要改革行政审批制度，减少程序，提高效率，尽快建立民间投资项目登记备案制度。统计部门要改进对民间投资的统计方法，及时、准确、全面地反映民间投资状况。</w:t>
      </w:r>
    </w:p>
    <w:p>
      <w:pPr>
        <w:pStyle w:val="12"/>
        <w:rPr>
          <w:rFonts w:hint="eastAsia" w:ascii="宋体" w:hAnsi="宋体" w:eastAsia="宋体" w:cs="宋体"/>
          <w:color w:val="auto"/>
        </w:rPr>
      </w:pPr>
      <w:r>
        <w:rPr>
          <w:rFonts w:hint="eastAsia" w:ascii="宋体" w:hAnsi="宋体" w:eastAsia="宋体" w:cs="宋体"/>
          <w:color w:val="auto"/>
        </w:rPr>
        <w:t>有关部门应调整、制定有关政策，使民间投资者在评定职称、评选先进、户籍管理、子女就学以及因商务和技术交流需要办理出国（境）手续等方面，享有与国有单位人员同等的待遇。</w:t>
      </w:r>
    </w:p>
    <w:p>
      <w:pPr>
        <w:pStyle w:val="12"/>
        <w:rPr>
          <w:rFonts w:hint="eastAsia" w:ascii="宋体" w:hAnsi="宋体" w:eastAsia="宋体" w:cs="宋体"/>
          <w:color w:val="auto"/>
        </w:rPr>
      </w:pPr>
      <w:r>
        <w:rPr>
          <w:rFonts w:hint="eastAsia" w:ascii="宋体" w:hAnsi="宋体" w:eastAsia="宋体" w:cs="宋体"/>
          <w:color w:val="auto"/>
        </w:rPr>
        <w:t>在国务院的领导下，国家计委将会同有关部门，对全国促进和引导民间投资工作进行宏观指导、政策研究和组织协调。各省级人民政府要按照中央的方针政策，针对本地区民间投资发展的现状和特点，因地制宜地制定和实施具体政策措施，做好民间投资的促进和引导工作。</w:t>
      </w:r>
    </w:p>
    <w:p>
      <w:pPr>
        <w:pStyle w:val="12"/>
        <w:rPr>
          <w:rFonts w:hint="eastAsia" w:ascii="宋体" w:hAnsi="宋体" w:eastAsia="宋体" w:cs="宋体"/>
          <w:color w:val="auto"/>
        </w:rPr>
      </w:pPr>
    </w:p>
    <w:p>
      <w:pPr>
        <w:pStyle w:val="12"/>
        <w:jc w:val="right"/>
        <w:rPr>
          <w:rFonts w:hint="eastAsia" w:ascii="宋体" w:hAnsi="宋体" w:eastAsia="宋体" w:cs="宋体"/>
          <w:color w:val="auto"/>
        </w:rPr>
      </w:pPr>
      <w:r>
        <w:rPr>
          <w:rFonts w:hint="eastAsia" w:ascii="宋体" w:hAnsi="宋体" w:eastAsia="宋体" w:cs="宋体"/>
          <w:color w:val="auto"/>
        </w:rPr>
        <w:t>国家计委</w:t>
      </w:r>
    </w:p>
    <w:p>
      <w:pPr>
        <w:pStyle w:val="12"/>
        <w:rPr>
          <w:rFonts w:hint="eastAsia" w:ascii="宋体" w:hAnsi="宋体" w:eastAsia="宋体" w:cs="宋体"/>
          <w:color w:val="auto"/>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43BFA"/>
    <w:multiLevelType w:val="singleLevel"/>
    <w:tmpl w:val="57A43BFA"/>
    <w:lvl w:ilvl="0" w:tentative="0">
      <w:start w:val="1"/>
      <w:numFmt w:val="chineseCounting"/>
      <w:suff w:val="nothing"/>
      <w:lvlText w:val="%1、"/>
      <w:lvlJc w:val="left"/>
    </w:lvl>
  </w:abstractNum>
  <w:abstractNum w:abstractNumId="1">
    <w:nsid w:val="57A43C08"/>
    <w:multiLevelType w:val="singleLevel"/>
    <w:tmpl w:val="57A43C08"/>
    <w:lvl w:ilvl="0" w:tentative="0">
      <w:start w:val="2"/>
      <w:numFmt w:val="chineseCounting"/>
      <w:suff w:val="nothing"/>
      <w:lvlText w:val="%1、"/>
      <w:lvlJc w:val="left"/>
    </w:lvl>
  </w:abstractNum>
  <w:abstractNum w:abstractNumId="2">
    <w:nsid w:val="57A43C18"/>
    <w:multiLevelType w:val="singleLevel"/>
    <w:tmpl w:val="57A43C18"/>
    <w:lvl w:ilvl="0" w:tentative="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6273D2F"/>
    <w:rsid w:val="0826101C"/>
    <w:rsid w:val="083B2E68"/>
    <w:rsid w:val="08673D2A"/>
    <w:rsid w:val="17EE545F"/>
    <w:rsid w:val="198860F9"/>
    <w:rsid w:val="1B0A3499"/>
    <w:rsid w:val="2182268D"/>
    <w:rsid w:val="275012D1"/>
    <w:rsid w:val="36EA50A7"/>
    <w:rsid w:val="39E113F5"/>
    <w:rsid w:val="3B2F6EF7"/>
    <w:rsid w:val="3CDF67F3"/>
    <w:rsid w:val="3D9A530C"/>
    <w:rsid w:val="4B4F1F4F"/>
    <w:rsid w:val="4D765109"/>
    <w:rsid w:val="572040A1"/>
    <w:rsid w:val="6080698E"/>
    <w:rsid w:val="64013AF7"/>
    <w:rsid w:val="65A31D7F"/>
    <w:rsid w:val="72F907FB"/>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style>
  <w:style w:type="character" w:styleId="6">
    <w:name w:val="FollowedHyperlink"/>
    <w:basedOn w:val="4"/>
    <w:qFormat/>
    <w:uiPriority w:val="0"/>
    <w:rPr>
      <w:color w:val="607FA6"/>
      <w:u w:val="none"/>
    </w:rPr>
  </w:style>
  <w:style w:type="character" w:styleId="7">
    <w:name w:val="Emphasis"/>
    <w:basedOn w:val="4"/>
    <w:qFormat/>
    <w:uiPriority w:val="0"/>
  </w:style>
  <w:style w:type="character" w:styleId="8">
    <w:name w:val="Hyperlink"/>
    <w:basedOn w:val="4"/>
    <w:qFormat/>
    <w:uiPriority w:val="0"/>
    <w:rPr>
      <w:color w:val="607FA6"/>
      <w:u w:val="none"/>
    </w:rPr>
  </w:style>
  <w:style w:type="character" w:styleId="9">
    <w:name w:val="HTML Code"/>
    <w:basedOn w:val="4"/>
    <w:qFormat/>
    <w:uiPriority w:val="0"/>
    <w:rPr>
      <w:rFonts w:ascii="Courier New" w:hAnsi="Courier New"/>
      <w:sz w:val="20"/>
    </w:rPr>
  </w:style>
  <w:style w:type="character" w:styleId="10">
    <w:name w:val="HTML Cite"/>
    <w:basedOn w:val="4"/>
    <w:uiPriority w:val="0"/>
  </w:style>
  <w:style w:type="paragraph" w:customStyle="1" w:styleId="12">
    <w:name w:val="样式1"/>
    <w:basedOn w:val="1"/>
    <w:qFormat/>
    <w:uiPriority w:val="0"/>
    <w:pPr>
      <w:spacing w:before="10"/>
      <w:ind w:firstLine="420" w:firstLineChars="200"/>
    </w:pPr>
    <w:rPr>
      <w:rFonts w:asciiTheme="minorAscii" w:hAnsiTheme="minorAscii"/>
    </w:rPr>
  </w:style>
  <w:style w:type="character" w:customStyle="1" w:styleId="13">
    <w:name w:val="css_blue1"/>
    <w:basedOn w:val="4"/>
    <w:qFormat/>
    <w:uiPriority w:val="0"/>
    <w:rPr>
      <w:color w:val="4A81A8"/>
      <w:sz w:val="21"/>
      <w:szCs w:val="21"/>
    </w:rPr>
  </w:style>
  <w:style w:type="character" w:customStyle="1" w:styleId="14">
    <w:name w:val="rich_media_meta_nickname"/>
    <w:basedOn w:val="4"/>
    <w:qFormat/>
    <w:uiPriority w:val="0"/>
    <w:rPr>
      <w:vanish/>
    </w:rPr>
  </w:style>
  <w:style w:type="character" w:customStyle="1" w:styleId="15">
    <w:name w:val="rich_media_meta_nickname1"/>
    <w:basedOn w:val="4"/>
    <w:qFormat/>
    <w:uiPriority w:val="0"/>
  </w:style>
  <w:style w:type="character" w:customStyle="1" w:styleId="16">
    <w:name w:val="tz_input"/>
    <w:basedOn w:val="4"/>
    <w:qFormat/>
    <w:uiPriority w:val="0"/>
    <w:rPr>
      <w:color w:val="A01211"/>
      <w:sz w:val="24"/>
      <w:szCs w:val="24"/>
    </w:rPr>
  </w:style>
  <w:style w:type="character" w:customStyle="1" w:styleId="17">
    <w:name w:val="bg01"/>
    <w:basedOn w:val="4"/>
    <w:qFormat/>
    <w:uiPriority w:val="0"/>
  </w:style>
  <w:style w:type="character" w:customStyle="1" w:styleId="18">
    <w:name w:val="m01"/>
    <w:basedOn w:val="4"/>
    <w:qFormat/>
    <w:uiPriority w:val="0"/>
  </w:style>
  <w:style w:type="character" w:customStyle="1" w:styleId="19">
    <w:name w:val="m011"/>
    <w:basedOn w:val="4"/>
    <w:qFormat/>
    <w:uiPriority w:val="0"/>
  </w:style>
  <w:style w:type="character" w:customStyle="1" w:styleId="20">
    <w:name w:val="font"/>
    <w:basedOn w:val="4"/>
    <w:qFormat/>
    <w:uiPriority w:val="0"/>
  </w:style>
  <w:style w:type="character" w:customStyle="1" w:styleId="21">
    <w:name w:val="font1"/>
    <w:basedOn w:val="4"/>
    <w:qFormat/>
    <w:uiPriority w:val="0"/>
  </w:style>
  <w:style w:type="character" w:customStyle="1" w:styleId="22">
    <w:name w:val="bg02"/>
    <w:basedOn w:val="4"/>
    <w:qFormat/>
    <w:uiPriority w:val="0"/>
  </w:style>
  <w:style w:type="character" w:customStyle="1" w:styleId="23">
    <w:name w:val="tabg"/>
    <w:basedOn w:val="4"/>
    <w:qFormat/>
    <w:uiPriority w:val="0"/>
    <w:rPr>
      <w:color w:val="FFFFFF"/>
      <w:sz w:val="27"/>
      <w:szCs w:val="27"/>
    </w:rPr>
  </w:style>
  <w:style w:type="character" w:customStyle="1" w:styleId="24">
    <w:name w:val="more4"/>
    <w:basedOn w:val="4"/>
    <w:qFormat/>
    <w:uiPriority w:val="0"/>
    <w:rPr>
      <w:color w:val="666666"/>
      <w:sz w:val="18"/>
      <w:szCs w:val="18"/>
    </w:rPr>
  </w:style>
  <w:style w:type="character" w:customStyle="1" w:styleId="25">
    <w:name w:val="gwds_nopic"/>
    <w:basedOn w:val="4"/>
    <w:qFormat/>
    <w:uiPriority w:val="0"/>
  </w:style>
  <w:style w:type="character" w:customStyle="1" w:styleId="26">
    <w:name w:val="gwds_nopic1"/>
    <w:basedOn w:val="4"/>
    <w:qFormat/>
    <w:uiPriority w:val="0"/>
  </w:style>
  <w:style w:type="character" w:customStyle="1" w:styleId="27">
    <w:name w:val="gwds_nopic2"/>
    <w:basedOn w:val="4"/>
    <w:qFormat/>
    <w:uiPriority w:val="0"/>
  </w:style>
  <w:style w:type="character" w:customStyle="1" w:styleId="28">
    <w:name w:val="bds_more4"/>
    <w:basedOn w:val="4"/>
    <w:qFormat/>
    <w:uiPriority w:val="0"/>
  </w:style>
  <w:style w:type="character" w:customStyle="1" w:styleId="29">
    <w:name w:val="bds_nopic"/>
    <w:basedOn w:val="4"/>
    <w:uiPriority w:val="0"/>
  </w:style>
  <w:style w:type="character" w:customStyle="1" w:styleId="30">
    <w:name w:val="bds_nopic1"/>
    <w:basedOn w:val="4"/>
    <w:qFormat/>
    <w:uiPriority w:val="0"/>
  </w:style>
  <w:style w:type="character" w:customStyle="1" w:styleId="31">
    <w:name w:val="bds_nopic2"/>
    <w:basedOn w:val="4"/>
    <w:qFormat/>
    <w:uiPriority w:val="0"/>
  </w:style>
  <w:style w:type="character" w:customStyle="1" w:styleId="32">
    <w:name w:val="bds_more3"/>
    <w:basedOn w:val="4"/>
    <w:qFormat/>
    <w:uiPriority w:val="0"/>
    <w:rPr>
      <w:rFonts w:hint="eastAsia" w:ascii="宋体" w:hAnsi="宋体" w:eastAsia="宋体" w:cs="宋体"/>
    </w:rPr>
  </w:style>
  <w:style w:type="character" w:customStyle="1" w:styleId="33">
    <w:name w:val="bds_more5"/>
    <w:basedOn w:val="4"/>
    <w:uiPriority w:val="0"/>
  </w:style>
  <w:style w:type="character" w:customStyle="1" w:styleId="34">
    <w:name w:val="on"/>
    <w:basedOn w:val="4"/>
    <w:uiPriority w:val="0"/>
    <w:rPr>
      <w:color w:val="FFFFFF"/>
    </w:rPr>
  </w:style>
  <w:style w:type="character" w:customStyle="1" w:styleId="35">
    <w:name w:val="cur"/>
    <w:basedOn w:val="4"/>
    <w:uiPriority w:val="0"/>
    <w:rPr>
      <w:b/>
    </w:rPr>
  </w:style>
  <w:style w:type="character" w:customStyle="1" w:styleId="36">
    <w:name w:val="cur1"/>
    <w:basedOn w:val="4"/>
    <w:qFormat/>
    <w:uiPriority w:val="0"/>
    <w:rPr>
      <w:b/>
    </w:rPr>
  </w:style>
  <w:style w:type="character" w:customStyle="1" w:styleId="37">
    <w:name w:val="cur2"/>
    <w:basedOn w:val="4"/>
    <w:uiPriority w:val="0"/>
    <w:rPr>
      <w:shd w:val="clear" w:fill="FF0000"/>
    </w:rPr>
  </w:style>
  <w:style w:type="character" w:customStyle="1" w:styleId="38">
    <w:name w:val="normal"/>
    <w:basedOn w:val="4"/>
    <w:uiPriority w:val="0"/>
    <w:rPr>
      <w:color w:val="FFFFFF"/>
    </w:rPr>
  </w:style>
  <w:style w:type="character" w:customStyle="1" w:styleId="39">
    <w:name w:val="normal1"/>
    <w:basedOn w:val="4"/>
    <w:uiPriority w:val="0"/>
    <w:rPr>
      <w:color w:val="FFFFFF"/>
    </w:rPr>
  </w:style>
  <w:style w:type="character" w:customStyle="1" w:styleId="40">
    <w:name w:val="normal2"/>
    <w:basedOn w:val="4"/>
    <w:uiPriority w:val="0"/>
    <w:rPr>
      <w:color w:val="000000"/>
    </w:rPr>
  </w:style>
  <w:style w:type="character" w:customStyle="1" w:styleId="41">
    <w:name w:val="more"/>
    <w:basedOn w:val="4"/>
    <w:uiPriority w:val="0"/>
    <w:rPr>
      <w:color w:val="666666"/>
      <w:sz w:val="18"/>
      <w:szCs w:val="18"/>
    </w:rPr>
  </w:style>
  <w:style w:type="character" w:customStyle="1" w:styleId="42">
    <w:name w:val="tn-zhishi"/>
    <w:basedOn w:val="4"/>
    <w:uiPriority w:val="0"/>
    <w:rPr>
      <w:shd w:val="clear" w:fill="8B6124"/>
    </w:rPr>
  </w:style>
  <w:style w:type="character" w:customStyle="1" w:styleId="43">
    <w:name w:val="hover57"/>
    <w:basedOn w:val="4"/>
    <w:uiPriority w:val="0"/>
    <w:rPr>
      <w:shd w:val="clear" w:fill="F3F3F3"/>
    </w:rPr>
  </w:style>
  <w:style w:type="character" w:customStyle="1" w:styleId="44">
    <w:name w:val="hover58"/>
    <w:basedOn w:val="4"/>
    <w:uiPriority w:val="0"/>
    <w:rPr>
      <w:shd w:val="clear" w:fill="F3F3F3"/>
    </w:rPr>
  </w:style>
  <w:style w:type="character" w:customStyle="1" w:styleId="45">
    <w:name w:val="hover59"/>
    <w:basedOn w:val="4"/>
    <w:uiPriority w:val="0"/>
    <w:rPr>
      <w:shd w:val="clear" w:fill="F3F3F3"/>
    </w:rPr>
  </w:style>
  <w:style w:type="character" w:customStyle="1" w:styleId="46">
    <w:name w:val="hover60"/>
    <w:basedOn w:val="4"/>
    <w:qFormat/>
    <w:uiPriority w:val="0"/>
    <w:rPr>
      <w:shd w:val="clear" w:fill="F3F3F3"/>
    </w:rPr>
  </w:style>
  <w:style w:type="character" w:customStyle="1" w:styleId="47">
    <w:name w:val="tn-fuwu"/>
    <w:basedOn w:val="4"/>
    <w:uiPriority w:val="0"/>
    <w:rPr>
      <w:shd w:val="clear" w:fill="DA5026"/>
    </w:rPr>
  </w:style>
  <w:style w:type="character" w:customStyle="1" w:styleId="48">
    <w:name w:val="tn-jingpin"/>
    <w:basedOn w:val="4"/>
    <w:uiPriority w:val="0"/>
    <w:rPr>
      <w:shd w:val="clear" w:fill="1D79B7"/>
    </w:rPr>
  </w:style>
  <w:style w:type="character" w:customStyle="1" w:styleId="49">
    <w:name w:val="tn-diqu"/>
    <w:basedOn w:val="4"/>
    <w:uiPriority w:val="0"/>
    <w:rPr>
      <w:shd w:val="clear" w:fill="669330"/>
    </w:rPr>
  </w:style>
  <w:style w:type="character" w:customStyle="1" w:styleId="50">
    <w:name w:val="bds_more"/>
    <w:basedOn w:val="4"/>
    <w:uiPriority w:val="0"/>
    <w:rPr>
      <w:rFonts w:hint="eastAsia" w:ascii="宋体" w:hAnsi="宋体" w:eastAsia="宋体" w:cs="宋体"/>
    </w:rPr>
  </w:style>
  <w:style w:type="character" w:customStyle="1" w:styleId="51">
    <w:name w:val="bds_more1"/>
    <w:basedOn w:val="4"/>
    <w:uiPriority w:val="0"/>
  </w:style>
  <w:style w:type="character" w:customStyle="1" w:styleId="52">
    <w:name w:val="bds_more2"/>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2016-08-05T07:03:45Z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