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lang w:val="en-US" w:eastAsia="zh-CN"/>
        </w:rPr>
      </w:pPr>
      <w:r>
        <w:rPr>
          <w:rFonts w:hint="eastAsia" w:ascii="宋体" w:hAnsi="宋体" w:eastAsia="宋体" w:cs="宋体"/>
          <w:b/>
          <w:bCs/>
          <w:lang w:val="en-US" w:eastAsia="zh-CN"/>
        </w:rPr>
        <w:t xml:space="preserve"> 财政部政府和社会资本合作模式操作指南（试行）</w:t>
      </w:r>
    </w:p>
    <w:p>
      <w:pPr>
        <w:jc w:val="center"/>
        <w:rPr>
          <w:rFonts w:hint="eastAsia" w:ascii="宋体" w:hAnsi="宋体" w:eastAsia="宋体" w:cs="宋体"/>
          <w:b/>
          <w:bCs/>
          <w:lang w:val="en-US" w:eastAsia="zh-CN"/>
        </w:rPr>
      </w:pPr>
      <w:r>
        <w:rPr>
          <w:rFonts w:hint="eastAsia" w:ascii="宋体" w:hAnsi="宋体" w:eastAsia="宋体" w:cs="宋体"/>
          <w:b/>
          <w:bCs/>
          <w:lang w:val="en-US" w:eastAsia="zh-CN"/>
        </w:rPr>
        <w:t>【财金[2014]113号】</w:t>
      </w:r>
    </w:p>
    <w:p>
      <w:pPr>
        <w:jc w:val="center"/>
        <w:rPr>
          <w:rFonts w:hint="eastAsia" w:ascii="宋体" w:hAnsi="宋体" w:eastAsia="宋体" w:cs="宋体"/>
          <w:b/>
          <w:bCs/>
          <w:lang w:val="en-US" w:eastAsia="zh-CN"/>
        </w:rPr>
      </w:pPr>
      <w:bookmarkStart w:id="0" w:name="_GoBack"/>
      <w:bookmarkEnd w:id="0"/>
    </w:p>
    <w:p>
      <w:pPr>
        <w:rPr>
          <w:rFonts w:hint="eastAsia" w:ascii="宋体" w:hAnsi="宋体" w:eastAsia="宋体" w:cs="宋体"/>
          <w:lang w:val="en-US" w:eastAsia="zh-CN"/>
        </w:rPr>
      </w:pPr>
      <w:r>
        <w:rPr>
          <w:rFonts w:hint="eastAsia" w:ascii="宋体" w:hAnsi="宋体" w:eastAsia="宋体" w:cs="宋体"/>
          <w:lang w:val="en-US" w:eastAsia="zh-CN"/>
        </w:rPr>
        <w:t>各省、自治区、直辖市、计划单列市财政厅（局），新疆生产建设兵团财务局：</w:t>
      </w:r>
    </w:p>
    <w:p>
      <w:pPr>
        <w:keepNext w:val="0"/>
        <w:keepLines w:val="0"/>
        <w:pageBreakBefore w:val="0"/>
        <w:widowControl w:val="0"/>
        <w:kinsoku/>
        <w:wordWrap/>
        <w:overflowPunct/>
        <w:topLinePunct w:val="0"/>
        <w:autoSpaceDE/>
        <w:autoSpaceDN/>
        <w:bidi w:val="0"/>
        <w:adjustRightInd/>
        <w:snapToGrid/>
        <w:spacing w:before="10" w:after="0" w:line="240" w:lineRule="auto"/>
        <w:ind w:left="420" w:leftChars="20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根据《财政部关于推广运用政府和社会资本合作模式有关问题的通知》（财金〔2014〕76号），为保证政府和社会资本合作项目实施质量，规范项目识别、准备、采购、执行、移交各环节操作流程，现印发《政府和社会资本合作模式操作指南（试行）》，请遵照执行。</w:t>
      </w:r>
    </w:p>
    <w:p>
      <w:pPr>
        <w:rPr>
          <w:rFonts w:hint="eastAsia" w:ascii="宋体" w:hAnsi="宋体" w:eastAsia="宋体" w:cs="宋体"/>
          <w:lang w:val="en-US" w:eastAsia="zh-CN"/>
        </w:rPr>
      </w:pPr>
    </w:p>
    <w:p>
      <w:pPr>
        <w:rPr>
          <w:rFonts w:hint="eastAsia" w:ascii="宋体" w:hAnsi="宋体" w:eastAsia="宋体" w:cs="宋体"/>
          <w:lang w:val="en-US" w:eastAsia="zh-CN"/>
        </w:rPr>
      </w:pPr>
    </w:p>
    <w:p>
      <w:pPr>
        <w:rPr>
          <w:rFonts w:hint="eastAsia" w:ascii="宋体" w:hAnsi="宋体" w:eastAsia="宋体" w:cs="宋体"/>
          <w:lang w:val="en-US" w:eastAsia="zh-CN"/>
        </w:rPr>
      </w:pPr>
    </w:p>
    <w:p>
      <w:pPr>
        <w:jc w:val="center"/>
        <w:rPr>
          <w:rFonts w:hint="eastAsia" w:ascii="宋体" w:hAnsi="宋体" w:eastAsia="宋体" w:cs="宋体"/>
          <w:lang w:val="en-US" w:eastAsia="zh-CN"/>
        </w:rPr>
      </w:pPr>
      <w:r>
        <w:rPr>
          <w:rFonts w:hint="eastAsia" w:ascii="宋体" w:hAnsi="宋体" w:eastAsia="宋体" w:cs="宋体"/>
          <w:lang w:val="en-US" w:eastAsia="zh-CN"/>
        </w:rPr>
        <w:t>政府和社会资本合作模式操作指南</w:t>
      </w:r>
    </w:p>
    <w:p>
      <w:pPr>
        <w:jc w:val="center"/>
        <w:rPr>
          <w:rFonts w:hint="eastAsia" w:ascii="宋体" w:hAnsi="宋体" w:eastAsia="宋体" w:cs="宋体"/>
          <w:lang w:val="en-US" w:eastAsia="zh-CN"/>
        </w:rPr>
      </w:pPr>
      <w:r>
        <w:rPr>
          <w:rFonts w:hint="eastAsia" w:ascii="宋体" w:hAnsi="宋体" w:eastAsia="宋体" w:cs="宋体"/>
          <w:lang w:val="en-US" w:eastAsia="zh-CN"/>
        </w:rPr>
        <w:t>（试行）</w:t>
      </w:r>
    </w:p>
    <w:p>
      <w:pPr>
        <w:ind w:left="0" w:leftChars="0" w:firstLine="0" w:firstLineChars="0"/>
        <w:rPr>
          <w:rFonts w:hint="eastAsia" w:ascii="宋体" w:hAnsi="宋体" w:eastAsia="宋体" w:cs="宋体"/>
          <w:b/>
          <w:bCs/>
          <w:lang w:val="en-US" w:eastAsia="zh-CN"/>
        </w:rPr>
      </w:pPr>
      <w:r>
        <w:rPr>
          <w:rFonts w:hint="eastAsia" w:ascii="宋体" w:hAnsi="宋体" w:eastAsia="宋体" w:cs="宋体"/>
          <w:b/>
          <w:bCs/>
          <w:lang w:val="en-US" w:eastAsia="zh-CN"/>
        </w:rPr>
        <w:t>  第一章 总则</w:t>
      </w:r>
    </w:p>
    <w:p>
      <w:pPr>
        <w:keepNext w:val="0"/>
        <w:keepLines w:val="0"/>
        <w:pageBreakBefore w:val="0"/>
        <w:widowControl w:val="0"/>
        <w:kinsoku/>
        <w:wordWrap/>
        <w:overflowPunct/>
        <w:topLinePunct w:val="0"/>
        <w:autoSpaceDE/>
        <w:autoSpaceDN/>
        <w:bidi w:val="0"/>
        <w:adjustRightInd/>
        <w:snapToGrid/>
        <w:spacing w:before="120" w:after="120" w:line="240" w:lineRule="auto"/>
        <w:ind w:left="420" w:leftChars="20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第一条 为科学规范地推广运用政府和社会资本合作模式（Public-Private Partnership，PPP），根据《中华人民共和国预算法》、《中华人民共和国政府采购法》、《中华人民共和国合同法》、《国务院关于加强地方政府性债务管理的意见》（国发〔2014〕43号）、《国务院关于深化预算管理制度改革的决定》（国发〔2014〕45号）和《财政部关于推广运用政府和社会资本合作模式有关问题的通知》（财金〔2014〕76号）等法律、法规、规章和规范性文件，制定本指南。</w:t>
      </w:r>
    </w:p>
    <w:p>
      <w:pPr>
        <w:keepNext w:val="0"/>
        <w:keepLines w:val="0"/>
        <w:pageBreakBefore w:val="0"/>
        <w:widowControl w:val="0"/>
        <w:kinsoku/>
        <w:wordWrap/>
        <w:overflowPunct/>
        <w:topLinePunct w:val="0"/>
        <w:autoSpaceDE/>
        <w:autoSpaceDN/>
        <w:bidi w:val="0"/>
        <w:adjustRightInd/>
        <w:snapToGrid/>
        <w:spacing w:before="120" w:after="120" w:line="240" w:lineRule="auto"/>
        <w:ind w:left="420" w:leftChars="20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第二条 本指南所称社会资本是指已建立现代企业制度的境内外企业法人，但不包括本级政府所属融资平台公司及其他控股国有企业。</w:t>
      </w:r>
    </w:p>
    <w:p>
      <w:pPr>
        <w:rPr>
          <w:rFonts w:hint="eastAsia" w:ascii="宋体" w:hAnsi="宋体" w:eastAsia="宋体" w:cs="宋体"/>
          <w:lang w:val="en-US" w:eastAsia="zh-CN"/>
        </w:rPr>
      </w:pPr>
      <w:r>
        <w:rPr>
          <w:rFonts w:hint="eastAsia" w:ascii="宋体" w:hAnsi="宋体" w:eastAsia="宋体" w:cs="宋体"/>
          <w:lang w:val="en-US" w:eastAsia="zh-CN"/>
        </w:rPr>
        <w:t>　　第三条 本指南适用于规范政府、社会资本和其他参与方开展政府和社会资本合作项目的识别、准备、采购、执行和移交等活动。</w:t>
      </w:r>
    </w:p>
    <w:p>
      <w:pPr>
        <w:rPr>
          <w:rFonts w:hint="eastAsia" w:ascii="宋体" w:hAnsi="宋体" w:eastAsia="宋体" w:cs="宋体"/>
          <w:lang w:val="en-US" w:eastAsia="zh-CN"/>
        </w:rPr>
      </w:pPr>
      <w:r>
        <w:rPr>
          <w:rFonts w:hint="eastAsia" w:ascii="宋体" w:hAnsi="宋体" w:eastAsia="宋体" w:cs="宋体"/>
          <w:lang w:val="en-US" w:eastAsia="zh-CN"/>
        </w:rPr>
        <w:t>　　第四条 财政部门应本着社会主义市场经济基本原则，以制度创新、合作契约精神，加强与政府相关部门的协调，积极发挥第三方专业机构作用，全面统筹政府和社会资本合作管理工作。</w:t>
      </w:r>
    </w:p>
    <w:p>
      <w:pPr>
        <w:rPr>
          <w:rFonts w:hint="eastAsia" w:ascii="宋体" w:hAnsi="宋体" w:eastAsia="宋体" w:cs="宋体"/>
          <w:lang w:val="en-US" w:eastAsia="zh-CN"/>
        </w:rPr>
      </w:pPr>
      <w:r>
        <w:rPr>
          <w:rFonts w:hint="eastAsia" w:ascii="宋体" w:hAnsi="宋体" w:eastAsia="宋体" w:cs="宋体"/>
          <w:lang w:val="en-US" w:eastAsia="zh-CN"/>
        </w:rPr>
        <w:t>　　各省、自治区、直辖市、计划单列市和新疆生产建设兵团财政部门应积极设立政府和社会资本合作中心或指定专门机构，履行规划指导、融资支持、识别评估、咨询服务、宣传培训、绩效评价、信息统计、专家库和项目库建设等职责。</w:t>
      </w:r>
    </w:p>
    <w:p>
      <w:pPr>
        <w:ind w:firstLine="420"/>
        <w:rPr>
          <w:rFonts w:hint="eastAsia" w:ascii="宋体" w:hAnsi="宋体" w:eastAsia="宋体" w:cs="宋体"/>
          <w:lang w:val="en-US" w:eastAsia="zh-CN"/>
        </w:rPr>
      </w:pPr>
      <w:r>
        <w:rPr>
          <w:rFonts w:hint="eastAsia" w:ascii="宋体" w:hAnsi="宋体" w:eastAsia="宋体" w:cs="宋体"/>
          <w:lang w:val="en-US" w:eastAsia="zh-CN"/>
        </w:rPr>
        <w:t>第五条 各参与方应按照公平、公正、公开和诚实信用的原则，依法、规范、高效实施政府和社会资本合作项目。</w:t>
      </w:r>
    </w:p>
    <w:p>
      <w:pPr>
        <w:ind w:firstLine="420"/>
        <w:rPr>
          <w:rFonts w:hint="eastAsia" w:ascii="宋体" w:hAnsi="宋体" w:eastAsia="宋体" w:cs="宋体"/>
          <w:lang w:val="en-US" w:eastAsia="zh-CN"/>
        </w:rPr>
      </w:pPr>
    </w:p>
    <w:p>
      <w:pPr>
        <w:rPr>
          <w:rFonts w:hint="eastAsia" w:ascii="宋体" w:hAnsi="宋体" w:eastAsia="宋体" w:cs="宋体"/>
          <w:b/>
          <w:bCs/>
          <w:lang w:val="en-US" w:eastAsia="zh-CN"/>
        </w:rPr>
      </w:pPr>
      <w:r>
        <w:rPr>
          <w:rFonts w:hint="eastAsia" w:ascii="宋体" w:hAnsi="宋体" w:eastAsia="宋体" w:cs="宋体"/>
          <w:b/>
          <w:bCs/>
          <w:lang w:val="en-US" w:eastAsia="zh-CN"/>
        </w:rPr>
        <w:t>　　第二章 项目识别</w:t>
      </w:r>
    </w:p>
    <w:p>
      <w:pPr>
        <w:rPr>
          <w:rFonts w:hint="eastAsia" w:ascii="宋体" w:hAnsi="宋体" w:eastAsia="宋体" w:cs="宋体"/>
          <w:lang w:val="en-US" w:eastAsia="zh-CN"/>
        </w:rPr>
      </w:pPr>
      <w:r>
        <w:rPr>
          <w:rFonts w:hint="eastAsia" w:ascii="宋体" w:hAnsi="宋体" w:eastAsia="宋体" w:cs="宋体"/>
          <w:lang w:val="en-US" w:eastAsia="zh-CN"/>
        </w:rPr>
        <w:t>　　第六条 投资规模较大、需求长期稳定、价格调整机制灵活、市场化程度较高的基础设施及公共服务类项目，适宜采用政府和社会资本合作模式。</w:t>
      </w:r>
    </w:p>
    <w:p>
      <w:pPr>
        <w:rPr>
          <w:rFonts w:hint="eastAsia" w:ascii="宋体" w:hAnsi="宋体" w:eastAsia="宋体" w:cs="宋体"/>
          <w:lang w:val="en-US" w:eastAsia="zh-CN"/>
        </w:rPr>
      </w:pPr>
      <w:r>
        <w:rPr>
          <w:rFonts w:hint="eastAsia" w:ascii="宋体" w:hAnsi="宋体" w:eastAsia="宋体" w:cs="宋体"/>
          <w:lang w:val="en-US" w:eastAsia="zh-CN"/>
        </w:rPr>
        <w:t>　　政府和社会资本合作项目由政府或社会资本发起，以政府发起为主。</w:t>
      </w:r>
    </w:p>
    <w:p>
      <w:pPr>
        <w:rPr>
          <w:rFonts w:hint="eastAsia" w:ascii="宋体" w:hAnsi="宋体" w:eastAsia="宋体" w:cs="宋体"/>
          <w:lang w:val="en-US" w:eastAsia="zh-CN"/>
        </w:rPr>
      </w:pPr>
      <w:r>
        <w:rPr>
          <w:rFonts w:hint="eastAsia" w:ascii="宋体" w:hAnsi="宋体" w:eastAsia="宋体" w:cs="宋体"/>
          <w:lang w:val="en-US" w:eastAsia="zh-CN"/>
        </w:rPr>
        <w:t>　　（一）政府发起。</w:t>
      </w:r>
    </w:p>
    <w:p>
      <w:pPr>
        <w:rPr>
          <w:rFonts w:hint="eastAsia" w:ascii="宋体" w:hAnsi="宋体" w:eastAsia="宋体" w:cs="宋体"/>
          <w:lang w:val="en-US" w:eastAsia="zh-CN"/>
        </w:rPr>
      </w:pPr>
      <w:r>
        <w:rPr>
          <w:rFonts w:hint="eastAsia" w:ascii="宋体" w:hAnsi="宋体" w:eastAsia="宋体" w:cs="宋体"/>
          <w:lang w:val="en-US" w:eastAsia="zh-CN"/>
        </w:rPr>
        <w:t>　　财政部门（政府和社会资本合作中心）应负责向交通、住建、环保、能源、教育、医疗、体育健身和文化设施等行业主管部门征集潜在政府和社会资本合作项目。行业主管部门可从国民经济和社会发展规划及行业专项规划中的新建、改建项目或存量公共资产中遴选潜在项目。</w:t>
      </w:r>
    </w:p>
    <w:p>
      <w:pPr>
        <w:rPr>
          <w:rFonts w:hint="eastAsia" w:ascii="宋体" w:hAnsi="宋体" w:eastAsia="宋体" w:cs="宋体"/>
          <w:lang w:val="en-US" w:eastAsia="zh-CN"/>
        </w:rPr>
      </w:pPr>
      <w:r>
        <w:rPr>
          <w:rFonts w:hint="eastAsia" w:ascii="宋体" w:hAnsi="宋体" w:eastAsia="宋体" w:cs="宋体"/>
          <w:lang w:val="en-US" w:eastAsia="zh-CN"/>
        </w:rPr>
        <w:t>　　（二）社会资本发起。</w:t>
      </w:r>
    </w:p>
    <w:p>
      <w:pPr>
        <w:rPr>
          <w:rFonts w:hint="eastAsia" w:ascii="宋体" w:hAnsi="宋体" w:eastAsia="宋体" w:cs="宋体"/>
          <w:lang w:val="en-US" w:eastAsia="zh-CN"/>
        </w:rPr>
      </w:pPr>
      <w:r>
        <w:rPr>
          <w:rFonts w:hint="eastAsia" w:ascii="宋体" w:hAnsi="宋体" w:eastAsia="宋体" w:cs="宋体"/>
          <w:lang w:val="en-US" w:eastAsia="zh-CN"/>
        </w:rPr>
        <w:t>　　社会资本应以项目建议书的方式向财政部门（政府和社会资本合作中心）推荐潜在政府和社会资本合作项目。</w:t>
      </w:r>
    </w:p>
    <w:p>
      <w:pPr>
        <w:rPr>
          <w:rFonts w:hint="eastAsia" w:ascii="宋体" w:hAnsi="宋体" w:eastAsia="宋体" w:cs="宋体"/>
          <w:lang w:val="en-US" w:eastAsia="zh-CN"/>
        </w:rPr>
      </w:pPr>
      <w:r>
        <w:rPr>
          <w:rFonts w:hint="eastAsia" w:ascii="宋体" w:hAnsi="宋体" w:eastAsia="宋体" w:cs="宋体"/>
          <w:lang w:val="en-US" w:eastAsia="zh-CN"/>
        </w:rPr>
        <w:t>　　第七条 财政部门（政府和社会资本合作中心）会同行业主管部门，对潜在政府和社会资本合作项目进行评估筛选，确定备选项目。财政部门（政府和社会资本合作中心）应根据筛选结果制定项目年度和中期开发计划。</w:t>
      </w:r>
    </w:p>
    <w:p>
      <w:pPr>
        <w:rPr>
          <w:rFonts w:hint="eastAsia" w:ascii="宋体" w:hAnsi="宋体" w:eastAsia="宋体" w:cs="宋体"/>
          <w:lang w:val="en-US" w:eastAsia="zh-CN"/>
        </w:rPr>
      </w:pPr>
      <w:r>
        <w:rPr>
          <w:rFonts w:hint="eastAsia" w:ascii="宋体" w:hAnsi="宋体" w:eastAsia="宋体" w:cs="宋体"/>
          <w:lang w:val="en-US" w:eastAsia="zh-CN"/>
        </w:rPr>
        <w:t>　　对于列入年度开发计划的项目，项目发起方应按财政部门（政府和社会资本合作中心）的要求提交相关资料。新建、改建项目应提交可行性研究报告、项目产出说明和初步实施方案；存量项目应提交存量公共资产的历史资料、项目产出说明和初步实施方案。</w:t>
      </w:r>
    </w:p>
    <w:p>
      <w:pPr>
        <w:rPr>
          <w:rFonts w:hint="eastAsia" w:ascii="宋体" w:hAnsi="宋体" w:eastAsia="宋体" w:cs="宋体"/>
          <w:lang w:val="en-US" w:eastAsia="zh-CN"/>
        </w:rPr>
      </w:pPr>
      <w:r>
        <w:rPr>
          <w:rFonts w:hint="eastAsia" w:ascii="宋体" w:hAnsi="宋体" w:eastAsia="宋体" w:cs="宋体"/>
          <w:lang w:val="en-US" w:eastAsia="zh-CN"/>
        </w:rPr>
        <w:t>　　第八条 财政部门（政府和社会资本合作中心）会同行业主管部门，从定性和定量两方面开展物有所值评价工作。定量评价工作由各地根据实际情况开展。</w:t>
      </w:r>
    </w:p>
    <w:p>
      <w:pPr>
        <w:rPr>
          <w:rFonts w:hint="eastAsia" w:ascii="宋体" w:hAnsi="宋体" w:eastAsia="宋体" w:cs="宋体"/>
          <w:lang w:val="en-US" w:eastAsia="zh-CN"/>
        </w:rPr>
      </w:pPr>
      <w:r>
        <w:rPr>
          <w:rFonts w:hint="eastAsia" w:ascii="宋体" w:hAnsi="宋体" w:eastAsia="宋体" w:cs="宋体"/>
          <w:lang w:val="en-US" w:eastAsia="zh-CN"/>
        </w:rPr>
        <w:t>　　定性评价重点关注项目采用政府和社会资本合作模式与采用政府传统采购模式相比能否增加供给、优化风险分配、提高运营效率、促进创新和公平竞争等。</w:t>
      </w:r>
    </w:p>
    <w:p>
      <w:pPr>
        <w:rPr>
          <w:rFonts w:hint="eastAsia" w:ascii="宋体" w:hAnsi="宋体" w:eastAsia="宋体" w:cs="宋体"/>
          <w:lang w:val="en-US" w:eastAsia="zh-CN"/>
        </w:rPr>
      </w:pPr>
      <w:r>
        <w:rPr>
          <w:rFonts w:hint="eastAsia" w:ascii="宋体" w:hAnsi="宋体" w:eastAsia="宋体" w:cs="宋体"/>
          <w:lang w:val="en-US" w:eastAsia="zh-CN"/>
        </w:rPr>
        <w:t>　　定量评价主要通过对政府和社会资本合作项目全生命周期内政府支出成本现值与公共部门比较值进行比较，计算项目的物有所值量值，判断政府和社会资本合作模式是否降低项目全生命周期成本。</w:t>
      </w:r>
    </w:p>
    <w:p>
      <w:pPr>
        <w:rPr>
          <w:rFonts w:hint="eastAsia" w:ascii="宋体" w:hAnsi="宋体" w:eastAsia="宋体" w:cs="宋体"/>
          <w:lang w:val="en-US" w:eastAsia="zh-CN"/>
        </w:rPr>
      </w:pPr>
      <w:r>
        <w:rPr>
          <w:rFonts w:hint="eastAsia" w:ascii="宋体" w:hAnsi="宋体" w:eastAsia="宋体" w:cs="宋体"/>
          <w:lang w:val="en-US" w:eastAsia="zh-CN"/>
        </w:rPr>
        <w:t>　　第九条 为确保财政中长期可持续性，财政部门应根据项目全生命周期内的财政支出、政府债务等因素，对部分政府付费或政府补贴的项目，开展财政承受能力论证，每年政府付费或政府补贴等财政支出不得超出当年财政收入的一定比例。</w:t>
      </w:r>
    </w:p>
    <w:p>
      <w:pPr>
        <w:ind w:firstLine="420"/>
        <w:rPr>
          <w:rFonts w:hint="eastAsia" w:ascii="宋体" w:hAnsi="宋体" w:eastAsia="宋体" w:cs="宋体"/>
          <w:lang w:val="en-US" w:eastAsia="zh-CN"/>
        </w:rPr>
      </w:pPr>
      <w:r>
        <w:rPr>
          <w:rFonts w:hint="eastAsia" w:ascii="宋体" w:hAnsi="宋体" w:eastAsia="宋体" w:cs="宋体"/>
          <w:lang w:val="en-US" w:eastAsia="zh-CN"/>
        </w:rPr>
        <w:t>通过物有所值评价和财政承受能力论证的项目，可进行项目准备。</w:t>
      </w:r>
    </w:p>
    <w:p>
      <w:pPr>
        <w:ind w:firstLine="420"/>
        <w:rPr>
          <w:rFonts w:hint="eastAsia" w:ascii="宋体" w:hAnsi="宋体" w:eastAsia="宋体" w:cs="宋体"/>
          <w:lang w:val="en-US" w:eastAsia="zh-CN"/>
        </w:rPr>
      </w:pPr>
    </w:p>
    <w:p>
      <w:pPr>
        <w:rPr>
          <w:rFonts w:hint="eastAsia" w:ascii="宋体" w:hAnsi="宋体" w:eastAsia="宋体" w:cs="宋体"/>
          <w:b/>
          <w:bCs/>
          <w:lang w:val="en-US" w:eastAsia="zh-CN"/>
        </w:rPr>
      </w:pPr>
      <w:r>
        <w:rPr>
          <w:rFonts w:hint="eastAsia" w:ascii="宋体" w:hAnsi="宋体" w:eastAsia="宋体" w:cs="宋体"/>
          <w:b/>
          <w:bCs/>
          <w:lang w:val="en-US" w:eastAsia="zh-CN"/>
        </w:rPr>
        <w:t>　　第三章 项目准备</w:t>
      </w:r>
    </w:p>
    <w:p>
      <w:pPr>
        <w:rPr>
          <w:rFonts w:hint="eastAsia" w:ascii="宋体" w:hAnsi="宋体" w:eastAsia="宋体" w:cs="宋体"/>
          <w:lang w:val="en-US" w:eastAsia="zh-CN"/>
        </w:rPr>
      </w:pPr>
      <w:r>
        <w:rPr>
          <w:rFonts w:hint="eastAsia" w:ascii="宋体" w:hAnsi="宋体" w:eastAsia="宋体" w:cs="宋体"/>
          <w:lang w:val="en-US" w:eastAsia="zh-CN"/>
        </w:rPr>
        <w:t>　　第十条 县级（含）以上地方人民政府可建立专门协调机制，主要负责项目评审、组织协调和检查督导等工作，实现简化审批流程、提高工作效率的目的。政府或其指定的有关职能部门或事业单位可作为项目实施机构，负责项目准备、采购、监管和移交等工作。</w:t>
      </w:r>
    </w:p>
    <w:p>
      <w:pPr>
        <w:rPr>
          <w:rFonts w:hint="eastAsia" w:ascii="宋体" w:hAnsi="宋体" w:eastAsia="宋体" w:cs="宋体"/>
          <w:lang w:val="en-US" w:eastAsia="zh-CN"/>
        </w:rPr>
      </w:pPr>
      <w:r>
        <w:rPr>
          <w:rFonts w:hint="eastAsia" w:ascii="宋体" w:hAnsi="宋体" w:eastAsia="宋体" w:cs="宋体"/>
          <w:lang w:val="en-US" w:eastAsia="zh-CN"/>
        </w:rPr>
        <w:t>　　第十一条 项目实施机构应组织编制项目实施方案，依次对以下内容进行介绍：</w:t>
      </w:r>
    </w:p>
    <w:p>
      <w:pPr>
        <w:rPr>
          <w:rFonts w:hint="eastAsia" w:ascii="宋体" w:hAnsi="宋体" w:eastAsia="宋体" w:cs="宋体"/>
          <w:lang w:val="en-US" w:eastAsia="zh-CN"/>
        </w:rPr>
      </w:pPr>
      <w:r>
        <w:rPr>
          <w:rFonts w:hint="eastAsia" w:ascii="宋体" w:hAnsi="宋体" w:eastAsia="宋体" w:cs="宋体"/>
          <w:lang w:val="en-US" w:eastAsia="zh-CN"/>
        </w:rPr>
        <w:t>　　（一）项目概况。</w:t>
      </w:r>
    </w:p>
    <w:p>
      <w:pPr>
        <w:rPr>
          <w:rFonts w:hint="eastAsia" w:ascii="宋体" w:hAnsi="宋体" w:eastAsia="宋体" w:cs="宋体"/>
          <w:lang w:val="en-US" w:eastAsia="zh-CN"/>
        </w:rPr>
      </w:pPr>
      <w:r>
        <w:rPr>
          <w:rFonts w:hint="eastAsia" w:ascii="宋体" w:hAnsi="宋体" w:eastAsia="宋体" w:cs="宋体"/>
          <w:lang w:val="en-US" w:eastAsia="zh-CN"/>
        </w:rPr>
        <w:t>　　项目概况主要包括基本情况、经济技术指标和项目公司股权情况等。</w:t>
      </w:r>
    </w:p>
    <w:p>
      <w:pPr>
        <w:rPr>
          <w:rFonts w:hint="eastAsia" w:ascii="宋体" w:hAnsi="宋体" w:eastAsia="宋体" w:cs="宋体"/>
          <w:lang w:val="en-US" w:eastAsia="zh-CN"/>
        </w:rPr>
      </w:pPr>
      <w:r>
        <w:rPr>
          <w:rFonts w:hint="eastAsia" w:ascii="宋体" w:hAnsi="宋体" w:eastAsia="宋体" w:cs="宋体"/>
          <w:lang w:val="en-US" w:eastAsia="zh-CN"/>
        </w:rPr>
        <w:t>　　基本情况主要明确项目提供的公共产品和服务内容、项目采用政府和社会资本合作模式运作的必要性和可行性，以及项目运作的目标和意义。</w:t>
      </w:r>
    </w:p>
    <w:p>
      <w:pPr>
        <w:rPr>
          <w:rFonts w:hint="eastAsia" w:ascii="宋体" w:hAnsi="宋体" w:eastAsia="宋体" w:cs="宋体"/>
          <w:lang w:val="en-US" w:eastAsia="zh-CN"/>
        </w:rPr>
      </w:pPr>
      <w:r>
        <w:rPr>
          <w:rFonts w:hint="eastAsia" w:ascii="宋体" w:hAnsi="宋体" w:eastAsia="宋体" w:cs="宋体"/>
          <w:lang w:val="en-US" w:eastAsia="zh-CN"/>
        </w:rPr>
        <w:t>　　经济技术指标主要明确项目区位、占地面积、建设内容或资产范围、投资规模或资产价值、主要产出说明和资金来源等。</w:t>
      </w:r>
    </w:p>
    <w:p>
      <w:pPr>
        <w:rPr>
          <w:rFonts w:hint="eastAsia" w:ascii="宋体" w:hAnsi="宋体" w:eastAsia="宋体" w:cs="宋体"/>
          <w:lang w:val="en-US" w:eastAsia="zh-CN"/>
        </w:rPr>
      </w:pPr>
      <w:r>
        <w:rPr>
          <w:rFonts w:hint="eastAsia" w:ascii="宋体" w:hAnsi="宋体" w:eastAsia="宋体" w:cs="宋体"/>
          <w:lang w:val="en-US" w:eastAsia="zh-CN"/>
        </w:rPr>
        <w:t>　　项目公司股权情况主要明确是否要设立项目公司以及公司股权结构。</w:t>
      </w:r>
    </w:p>
    <w:p>
      <w:pPr>
        <w:rPr>
          <w:rFonts w:hint="eastAsia" w:ascii="宋体" w:hAnsi="宋体" w:eastAsia="宋体" w:cs="宋体"/>
          <w:lang w:val="en-US" w:eastAsia="zh-CN"/>
        </w:rPr>
      </w:pPr>
      <w:r>
        <w:rPr>
          <w:rFonts w:hint="eastAsia" w:ascii="宋体" w:hAnsi="宋体" w:eastAsia="宋体" w:cs="宋体"/>
          <w:lang w:val="en-US" w:eastAsia="zh-CN"/>
        </w:rPr>
        <w:t>　　（二）风险分配基本框架。</w:t>
      </w:r>
    </w:p>
    <w:p>
      <w:pPr>
        <w:rPr>
          <w:rFonts w:hint="eastAsia" w:ascii="宋体" w:hAnsi="宋体" w:eastAsia="宋体" w:cs="宋体"/>
          <w:lang w:val="en-US" w:eastAsia="zh-CN"/>
        </w:rPr>
      </w:pPr>
      <w:r>
        <w:rPr>
          <w:rFonts w:hint="eastAsia" w:ascii="宋体" w:hAnsi="宋体" w:eastAsia="宋体" w:cs="宋体"/>
          <w:lang w:val="en-US" w:eastAsia="zh-CN"/>
        </w:rPr>
        <w:t>　　按照风险分配优化、风险收益对等和风险可控等原则，综合考虑政府风险管理能力、项目回报机制和市场风险管理能力等要素，在政府和社会资本间合理分配项目风险。</w:t>
      </w:r>
    </w:p>
    <w:p>
      <w:pPr>
        <w:rPr>
          <w:rFonts w:hint="eastAsia" w:ascii="宋体" w:hAnsi="宋体" w:eastAsia="宋体" w:cs="宋体"/>
          <w:lang w:val="en-US" w:eastAsia="zh-CN"/>
        </w:rPr>
      </w:pPr>
      <w:r>
        <w:rPr>
          <w:rFonts w:hint="eastAsia" w:ascii="宋体" w:hAnsi="宋体" w:eastAsia="宋体" w:cs="宋体"/>
          <w:lang w:val="en-US" w:eastAsia="zh-CN"/>
        </w:rPr>
        <w:t>　　原则上，项目设计、建造、财务和运营维护等商业风险由社会资本承担，法律、政策和最低需求等风险由政府承担，不可抗力等风险由政府和社会资本合理共担。</w:t>
      </w:r>
    </w:p>
    <w:p>
      <w:pPr>
        <w:rPr>
          <w:rFonts w:hint="eastAsia" w:ascii="宋体" w:hAnsi="宋体" w:eastAsia="宋体" w:cs="宋体"/>
          <w:lang w:val="en-US" w:eastAsia="zh-CN"/>
        </w:rPr>
      </w:pPr>
      <w:r>
        <w:rPr>
          <w:rFonts w:hint="eastAsia" w:ascii="宋体" w:hAnsi="宋体" w:eastAsia="宋体" w:cs="宋体"/>
          <w:lang w:val="en-US" w:eastAsia="zh-CN"/>
        </w:rPr>
        <w:t>　　（三）项目运作方式。</w:t>
      </w:r>
    </w:p>
    <w:p>
      <w:pPr>
        <w:rPr>
          <w:rFonts w:hint="eastAsia" w:ascii="宋体" w:hAnsi="宋体" w:eastAsia="宋体" w:cs="宋体"/>
          <w:lang w:val="en-US" w:eastAsia="zh-CN"/>
        </w:rPr>
      </w:pPr>
      <w:r>
        <w:rPr>
          <w:rFonts w:hint="eastAsia" w:ascii="宋体" w:hAnsi="宋体" w:eastAsia="宋体" w:cs="宋体"/>
          <w:lang w:val="en-US" w:eastAsia="zh-CN"/>
        </w:rPr>
        <w:t>　　项目运作方式主要包括委托运营、管理合同、建设-运营-移交、建设-拥有-运营、转让-运营-移交和改建-运营-移交等。</w:t>
      </w:r>
    </w:p>
    <w:p>
      <w:pPr>
        <w:rPr>
          <w:rFonts w:hint="eastAsia" w:ascii="宋体" w:hAnsi="宋体" w:eastAsia="宋体" w:cs="宋体"/>
          <w:lang w:val="en-US" w:eastAsia="zh-CN"/>
        </w:rPr>
      </w:pPr>
      <w:r>
        <w:rPr>
          <w:rFonts w:hint="eastAsia" w:ascii="宋体" w:hAnsi="宋体" w:eastAsia="宋体" w:cs="宋体"/>
          <w:lang w:val="en-US" w:eastAsia="zh-CN"/>
        </w:rPr>
        <w:t>　　具体运作方式的选择主要由收费定价机制、项目投资收益水平、风险分配基本框架、融资需求、改扩建需求和期满处置等因素决定。</w:t>
      </w:r>
    </w:p>
    <w:p>
      <w:pPr>
        <w:rPr>
          <w:rFonts w:hint="eastAsia" w:ascii="宋体" w:hAnsi="宋体" w:eastAsia="宋体" w:cs="宋体"/>
          <w:lang w:val="en-US" w:eastAsia="zh-CN"/>
        </w:rPr>
      </w:pPr>
      <w:r>
        <w:rPr>
          <w:rFonts w:hint="eastAsia" w:ascii="宋体" w:hAnsi="宋体" w:eastAsia="宋体" w:cs="宋体"/>
          <w:lang w:val="en-US" w:eastAsia="zh-CN"/>
        </w:rPr>
        <w:t>　　（四）交易结构。</w:t>
      </w:r>
    </w:p>
    <w:p>
      <w:pPr>
        <w:rPr>
          <w:rFonts w:hint="eastAsia" w:ascii="宋体" w:hAnsi="宋体" w:eastAsia="宋体" w:cs="宋体"/>
          <w:lang w:val="en-US" w:eastAsia="zh-CN"/>
        </w:rPr>
      </w:pPr>
      <w:r>
        <w:rPr>
          <w:rFonts w:hint="eastAsia" w:ascii="宋体" w:hAnsi="宋体" w:eastAsia="宋体" w:cs="宋体"/>
          <w:lang w:val="en-US" w:eastAsia="zh-CN"/>
        </w:rPr>
        <w:t>　　交易结构主要包括项目投融资结构、回报机制和相关配套安排。</w:t>
      </w:r>
    </w:p>
    <w:p>
      <w:pPr>
        <w:rPr>
          <w:rFonts w:hint="eastAsia" w:ascii="宋体" w:hAnsi="宋体" w:eastAsia="宋体" w:cs="宋体"/>
          <w:lang w:val="en-US" w:eastAsia="zh-CN"/>
        </w:rPr>
      </w:pPr>
      <w:r>
        <w:rPr>
          <w:rFonts w:hint="eastAsia" w:ascii="宋体" w:hAnsi="宋体" w:eastAsia="宋体" w:cs="宋体"/>
          <w:lang w:val="en-US" w:eastAsia="zh-CN"/>
        </w:rPr>
        <w:t>　　项目投融资结构主要说明项目资本性支出的资金来源、性质和用途，项目资产的形成和转移等。</w:t>
      </w:r>
    </w:p>
    <w:p>
      <w:pPr>
        <w:rPr>
          <w:rFonts w:hint="eastAsia" w:ascii="宋体" w:hAnsi="宋体" w:eastAsia="宋体" w:cs="宋体"/>
          <w:lang w:val="en-US" w:eastAsia="zh-CN"/>
        </w:rPr>
      </w:pPr>
      <w:r>
        <w:rPr>
          <w:rFonts w:hint="eastAsia" w:ascii="宋体" w:hAnsi="宋体" w:eastAsia="宋体" w:cs="宋体"/>
          <w:lang w:val="en-US" w:eastAsia="zh-CN"/>
        </w:rPr>
        <w:t>　　项目回报机制主要说明社会资本取得投资回报的资金来源，包括使用者付费、可行性缺口补助和政府付费等支付方式。</w:t>
      </w:r>
    </w:p>
    <w:p>
      <w:pPr>
        <w:rPr>
          <w:rFonts w:hint="eastAsia" w:ascii="宋体" w:hAnsi="宋体" w:eastAsia="宋体" w:cs="宋体"/>
          <w:lang w:val="en-US" w:eastAsia="zh-CN"/>
        </w:rPr>
      </w:pPr>
      <w:r>
        <w:rPr>
          <w:rFonts w:hint="eastAsia" w:ascii="宋体" w:hAnsi="宋体" w:eastAsia="宋体" w:cs="宋体"/>
          <w:lang w:val="en-US" w:eastAsia="zh-CN"/>
        </w:rPr>
        <w:t>　　相关配套安排主要说明由项目以外相关机构提供的土地、水、电、气和道路等配套设施和项目所需的上下游服务。</w:t>
      </w:r>
    </w:p>
    <w:p>
      <w:pPr>
        <w:rPr>
          <w:rFonts w:hint="eastAsia" w:ascii="宋体" w:hAnsi="宋体" w:eastAsia="宋体" w:cs="宋体"/>
          <w:lang w:val="en-US" w:eastAsia="zh-CN"/>
        </w:rPr>
      </w:pPr>
      <w:r>
        <w:rPr>
          <w:rFonts w:hint="eastAsia" w:ascii="宋体" w:hAnsi="宋体" w:eastAsia="宋体" w:cs="宋体"/>
          <w:lang w:val="en-US" w:eastAsia="zh-CN"/>
        </w:rPr>
        <w:t>　　（五）合同体系。</w:t>
      </w:r>
    </w:p>
    <w:p>
      <w:pPr>
        <w:rPr>
          <w:rFonts w:hint="eastAsia" w:ascii="宋体" w:hAnsi="宋体" w:eastAsia="宋体" w:cs="宋体"/>
          <w:lang w:val="en-US" w:eastAsia="zh-CN"/>
        </w:rPr>
      </w:pPr>
      <w:r>
        <w:rPr>
          <w:rFonts w:hint="eastAsia" w:ascii="宋体" w:hAnsi="宋体" w:eastAsia="宋体" w:cs="宋体"/>
          <w:lang w:val="en-US" w:eastAsia="zh-CN"/>
        </w:rPr>
        <w:t>　　合同体系主要包括项目合同、股东合同、融资合同、工程承包合同、运营服务合同、原料供应合同、产品采购合同和保险合同等。项目合同是其中最核心的法律文件。</w:t>
      </w:r>
    </w:p>
    <w:p>
      <w:pPr>
        <w:rPr>
          <w:rFonts w:hint="eastAsia" w:ascii="宋体" w:hAnsi="宋体" w:eastAsia="宋体" w:cs="宋体"/>
          <w:lang w:val="en-US" w:eastAsia="zh-CN"/>
        </w:rPr>
      </w:pPr>
      <w:r>
        <w:rPr>
          <w:rFonts w:hint="eastAsia" w:ascii="宋体" w:hAnsi="宋体" w:eastAsia="宋体" w:cs="宋体"/>
          <w:lang w:val="en-US" w:eastAsia="zh-CN"/>
        </w:rPr>
        <w:t>　　项目边界条件是项目合同的核心内容，主要包括权利义务、交易条件、履约保障和调整衔接等边界。</w:t>
      </w:r>
    </w:p>
    <w:p>
      <w:pPr>
        <w:rPr>
          <w:rFonts w:hint="eastAsia" w:ascii="宋体" w:hAnsi="宋体" w:eastAsia="宋体" w:cs="宋体"/>
          <w:lang w:val="en-US" w:eastAsia="zh-CN"/>
        </w:rPr>
      </w:pPr>
      <w:r>
        <w:rPr>
          <w:rFonts w:hint="eastAsia" w:ascii="宋体" w:hAnsi="宋体" w:eastAsia="宋体" w:cs="宋体"/>
          <w:lang w:val="en-US" w:eastAsia="zh-CN"/>
        </w:rPr>
        <w:t>　　权利义务边界主要明确项目资产权属、社会资本承担的公共责任、政府支付方式和风险分配结果等。</w:t>
      </w:r>
    </w:p>
    <w:p>
      <w:pPr>
        <w:rPr>
          <w:rFonts w:hint="eastAsia" w:ascii="宋体" w:hAnsi="宋体" w:eastAsia="宋体" w:cs="宋体"/>
          <w:lang w:val="en-US" w:eastAsia="zh-CN"/>
        </w:rPr>
      </w:pPr>
      <w:r>
        <w:rPr>
          <w:rFonts w:hint="eastAsia" w:ascii="宋体" w:hAnsi="宋体" w:eastAsia="宋体" w:cs="宋体"/>
          <w:lang w:val="en-US" w:eastAsia="zh-CN"/>
        </w:rPr>
        <w:t>　　交易条件边界主要明确项目合同期限、项目回报机制、收费定价调整机制和产出说明等。</w:t>
      </w:r>
    </w:p>
    <w:p>
      <w:pPr>
        <w:rPr>
          <w:rFonts w:hint="eastAsia" w:ascii="宋体" w:hAnsi="宋体" w:eastAsia="宋体" w:cs="宋体"/>
          <w:lang w:val="en-US" w:eastAsia="zh-CN"/>
        </w:rPr>
      </w:pPr>
      <w:r>
        <w:rPr>
          <w:rFonts w:hint="eastAsia" w:ascii="宋体" w:hAnsi="宋体" w:eastAsia="宋体" w:cs="宋体"/>
          <w:lang w:val="en-US" w:eastAsia="zh-CN"/>
        </w:rPr>
        <w:t>　　履约保障边界主要明确强制保险方案以及由投资竞争保函、建设履约保函、运营维护保函和移交维修保函组成的履约保函体系。</w:t>
      </w:r>
    </w:p>
    <w:p>
      <w:pPr>
        <w:rPr>
          <w:rFonts w:hint="eastAsia" w:ascii="宋体" w:hAnsi="宋体" w:eastAsia="宋体" w:cs="宋体"/>
          <w:lang w:val="en-US" w:eastAsia="zh-CN"/>
        </w:rPr>
      </w:pPr>
      <w:r>
        <w:rPr>
          <w:rFonts w:hint="eastAsia" w:ascii="宋体" w:hAnsi="宋体" w:eastAsia="宋体" w:cs="宋体"/>
          <w:lang w:val="en-US" w:eastAsia="zh-CN"/>
        </w:rPr>
        <w:t>　　调整衔接边界主要明确应急处置、临时接管和提前终止、合同变更、合同展期、项目新增改扩建需求等应对措施。</w:t>
      </w:r>
    </w:p>
    <w:p>
      <w:pPr>
        <w:rPr>
          <w:rFonts w:hint="eastAsia" w:ascii="宋体" w:hAnsi="宋体" w:eastAsia="宋体" w:cs="宋体"/>
          <w:lang w:val="en-US" w:eastAsia="zh-CN"/>
        </w:rPr>
      </w:pPr>
      <w:r>
        <w:rPr>
          <w:rFonts w:hint="eastAsia" w:ascii="宋体" w:hAnsi="宋体" w:eastAsia="宋体" w:cs="宋体"/>
          <w:lang w:val="en-US" w:eastAsia="zh-CN"/>
        </w:rPr>
        <w:t>　　（六）监管架构。</w:t>
      </w:r>
    </w:p>
    <w:p>
      <w:pPr>
        <w:rPr>
          <w:rFonts w:hint="eastAsia" w:ascii="宋体" w:hAnsi="宋体" w:eastAsia="宋体" w:cs="宋体"/>
          <w:lang w:val="en-US" w:eastAsia="zh-CN"/>
        </w:rPr>
      </w:pPr>
      <w:r>
        <w:rPr>
          <w:rFonts w:hint="eastAsia" w:ascii="宋体" w:hAnsi="宋体" w:eastAsia="宋体" w:cs="宋体"/>
          <w:lang w:val="en-US" w:eastAsia="zh-CN"/>
        </w:rPr>
        <w:t>　　监管架构主要包括授权关系和监管方式。授权关系主要是政府对项目实施机构的授权，以及政府直接或通过项目实施机构对社会资本的授权；监管方式主要包括履约管理、行政监管和公众监督等。</w:t>
      </w:r>
    </w:p>
    <w:p>
      <w:pPr>
        <w:rPr>
          <w:rFonts w:hint="eastAsia" w:ascii="宋体" w:hAnsi="宋体" w:eastAsia="宋体" w:cs="宋体"/>
          <w:lang w:val="en-US" w:eastAsia="zh-CN"/>
        </w:rPr>
      </w:pPr>
      <w:r>
        <w:rPr>
          <w:rFonts w:hint="eastAsia" w:ascii="宋体" w:hAnsi="宋体" w:eastAsia="宋体" w:cs="宋体"/>
          <w:lang w:val="en-US" w:eastAsia="zh-CN"/>
        </w:rPr>
        <w:t>　　（七）采购方式选择。</w:t>
      </w:r>
    </w:p>
    <w:p>
      <w:pPr>
        <w:rPr>
          <w:rFonts w:hint="eastAsia" w:ascii="宋体" w:hAnsi="宋体" w:eastAsia="宋体" w:cs="宋体"/>
          <w:lang w:val="en-US" w:eastAsia="zh-CN"/>
        </w:rPr>
      </w:pPr>
      <w:r>
        <w:rPr>
          <w:rFonts w:hint="eastAsia" w:ascii="宋体" w:hAnsi="宋体" w:eastAsia="宋体" w:cs="宋体"/>
          <w:lang w:val="en-US" w:eastAsia="zh-CN"/>
        </w:rPr>
        <w:t>　　项目采购应根据《中华人民共和国政府采购法》及相关规章制度执行，采购方式包括公开招标、竞争性谈判、邀请招标、竞争性磋商和单一来源采购。项目实施机构应根据项目采购需求特点，依法选择适当采购方式。</w:t>
      </w:r>
    </w:p>
    <w:p>
      <w:pPr>
        <w:rPr>
          <w:rFonts w:hint="eastAsia" w:ascii="宋体" w:hAnsi="宋体" w:eastAsia="宋体" w:cs="宋体"/>
          <w:lang w:val="en-US" w:eastAsia="zh-CN"/>
        </w:rPr>
      </w:pPr>
      <w:r>
        <w:rPr>
          <w:rFonts w:hint="eastAsia" w:ascii="宋体" w:hAnsi="宋体" w:eastAsia="宋体" w:cs="宋体"/>
          <w:lang w:val="en-US" w:eastAsia="zh-CN"/>
        </w:rPr>
        <w:t>　　公开招标主要适用于核心边界条件和技术经济参数明确、完整、符合国家法律法规和政府采购政策，且采购中不作更改的项目。</w:t>
      </w:r>
    </w:p>
    <w:p>
      <w:pPr>
        <w:ind w:firstLine="420"/>
        <w:rPr>
          <w:rFonts w:hint="eastAsia" w:ascii="宋体" w:hAnsi="宋体" w:eastAsia="宋体" w:cs="宋体"/>
          <w:lang w:val="en-US" w:eastAsia="zh-CN"/>
        </w:rPr>
      </w:pPr>
      <w:r>
        <w:rPr>
          <w:rFonts w:hint="eastAsia" w:ascii="宋体" w:hAnsi="宋体" w:eastAsia="宋体" w:cs="宋体"/>
          <w:lang w:val="en-US" w:eastAsia="zh-CN"/>
        </w:rPr>
        <w:t>第十二条 财政部门（政府和社会资本合作中心）应对项目实施方案进行物有所值和财政承受能力验证，通过验证的，由项目实施机构报政府审核；未通过验证的，可在实施方案调整后重新验证；经重新验证仍不能通过的，不再采用政府和社会资本合作模式。</w:t>
      </w:r>
    </w:p>
    <w:p>
      <w:pPr>
        <w:ind w:firstLine="420"/>
        <w:rPr>
          <w:rFonts w:hint="eastAsia" w:ascii="宋体" w:hAnsi="宋体" w:eastAsia="宋体" w:cs="宋体"/>
          <w:lang w:val="en-US" w:eastAsia="zh-CN"/>
        </w:rPr>
      </w:pPr>
    </w:p>
    <w:p>
      <w:pPr>
        <w:rPr>
          <w:rFonts w:hint="eastAsia" w:ascii="宋体" w:hAnsi="宋体" w:eastAsia="宋体" w:cs="宋体"/>
          <w:b/>
          <w:bCs/>
          <w:lang w:val="en-US" w:eastAsia="zh-CN"/>
        </w:rPr>
      </w:pPr>
      <w:r>
        <w:rPr>
          <w:rFonts w:hint="eastAsia" w:ascii="宋体" w:hAnsi="宋体" w:eastAsia="宋体" w:cs="宋体"/>
          <w:b/>
          <w:bCs/>
          <w:lang w:val="en-US" w:eastAsia="zh-CN"/>
        </w:rPr>
        <w:t>　　第四章 项目采购</w:t>
      </w:r>
    </w:p>
    <w:p>
      <w:pPr>
        <w:rPr>
          <w:rFonts w:hint="eastAsia" w:ascii="宋体" w:hAnsi="宋体" w:eastAsia="宋体" w:cs="宋体"/>
          <w:lang w:val="en-US" w:eastAsia="zh-CN"/>
        </w:rPr>
      </w:pPr>
      <w:r>
        <w:rPr>
          <w:rFonts w:hint="eastAsia" w:ascii="宋体" w:hAnsi="宋体" w:eastAsia="宋体" w:cs="宋体"/>
          <w:lang w:val="en-US" w:eastAsia="zh-CN"/>
        </w:rPr>
        <w:t>第十三条 项目实施机构应根据项目需要准备资格预审文件，发布资格预审公告，邀请社会资本和与其合作的金融机构参与资格预审，验证项目能否获得社会资本响应和实现充分竞争，并将资格预审的评审报告提交财政部门（政府和社会资本合作中心）备案。</w:t>
      </w:r>
    </w:p>
    <w:p>
      <w:pPr>
        <w:rPr>
          <w:rFonts w:hint="eastAsia" w:ascii="宋体" w:hAnsi="宋体" w:eastAsia="宋体" w:cs="宋体"/>
          <w:lang w:val="en-US" w:eastAsia="zh-CN"/>
        </w:rPr>
      </w:pPr>
      <w:r>
        <w:rPr>
          <w:rFonts w:hint="eastAsia" w:ascii="宋体" w:hAnsi="宋体" w:eastAsia="宋体" w:cs="宋体"/>
          <w:lang w:val="en-US" w:eastAsia="zh-CN"/>
        </w:rPr>
        <w:t>　　项目有3家以上社会资本通过资格预审的，项目实施机构可以继续开展采购文件准备工作；项目通过资格预审的社会资本不足3家的，项目实施机构应在实施方案调整后重新组织资格预审；项目经重新资格预审合格社会资本仍不够3家的，可依法调整实施方案选择的采购方式。</w:t>
      </w:r>
    </w:p>
    <w:p>
      <w:pPr>
        <w:rPr>
          <w:rFonts w:hint="eastAsia" w:ascii="宋体" w:hAnsi="宋体" w:eastAsia="宋体" w:cs="宋体"/>
          <w:lang w:val="en-US" w:eastAsia="zh-CN"/>
        </w:rPr>
      </w:pPr>
      <w:r>
        <w:rPr>
          <w:rFonts w:hint="eastAsia" w:ascii="宋体" w:hAnsi="宋体" w:eastAsia="宋体" w:cs="宋体"/>
          <w:lang w:val="en-US" w:eastAsia="zh-CN"/>
        </w:rPr>
        <w:t>　　第十四条 资格预审公告应在省级以上人民政府财政部门指定的媒体上发布。资格预审合格的社会资本在签订项目合同前资格发生变化的，应及时通知项目实施机构。</w:t>
      </w:r>
    </w:p>
    <w:p>
      <w:pPr>
        <w:rPr>
          <w:rFonts w:hint="eastAsia" w:ascii="宋体" w:hAnsi="宋体" w:eastAsia="宋体" w:cs="宋体"/>
          <w:lang w:val="en-US" w:eastAsia="zh-CN"/>
        </w:rPr>
      </w:pPr>
      <w:r>
        <w:rPr>
          <w:rFonts w:hint="eastAsia" w:ascii="宋体" w:hAnsi="宋体" w:eastAsia="宋体" w:cs="宋体"/>
          <w:lang w:val="en-US" w:eastAsia="zh-CN"/>
        </w:rPr>
        <w:t>　　资格预审公告应包括项目授权主体、项目实施机构和项目名称、采购需求、对社会资本的资格要求、是否允许联合体参与采购活动、拟确定参与竞争的合格社会资本的家数和确定方法,以及社会资本提交资格预审申请文件的时间和地点。提交资格预审申请文件的时间自公告发布之日起不得少于15个工作日。</w:t>
      </w:r>
    </w:p>
    <w:p>
      <w:pPr>
        <w:rPr>
          <w:rFonts w:hint="eastAsia" w:ascii="宋体" w:hAnsi="宋体" w:eastAsia="宋体" w:cs="宋体"/>
          <w:lang w:val="en-US" w:eastAsia="zh-CN"/>
        </w:rPr>
      </w:pPr>
      <w:r>
        <w:rPr>
          <w:rFonts w:hint="eastAsia" w:ascii="宋体" w:hAnsi="宋体" w:eastAsia="宋体" w:cs="宋体"/>
          <w:lang w:val="en-US" w:eastAsia="zh-CN"/>
        </w:rPr>
        <w:t>　　第十五条 项目采购文件应包括采购邀请、竞争者须知（包括密封、签署、盖章要求等）、竞争者应提供的资格、资信及业绩证明文件、采购方式、政府对项目实施机构的授权、实施方案的批复和项目相关审批文件、采购程序、响应文件编制要求、提交响应文件截止时间、开启时间及地点、强制担保的保证金交纳数额和形式、评审方法、评审标准、政府采购政策要求、项目合同草案及其他法律文本等。</w:t>
      </w:r>
    </w:p>
    <w:p>
      <w:pPr>
        <w:rPr>
          <w:rFonts w:hint="eastAsia" w:ascii="宋体" w:hAnsi="宋体" w:eastAsia="宋体" w:cs="宋体"/>
          <w:lang w:val="en-US" w:eastAsia="zh-CN"/>
        </w:rPr>
      </w:pPr>
      <w:r>
        <w:rPr>
          <w:rFonts w:hint="eastAsia" w:ascii="宋体" w:hAnsi="宋体" w:eastAsia="宋体" w:cs="宋体"/>
          <w:lang w:val="en-US" w:eastAsia="zh-CN"/>
        </w:rPr>
        <w:t>采用竞争性谈判或竞争性磋商采购方式的，项目采购文件除上款规定的内容外，还应明确评审小组根据与社会资本谈判情况可能实质性变动的内容，包括采购需求中的技术、服务要求以及合同草案条款。</w:t>
      </w:r>
    </w:p>
    <w:p>
      <w:pPr>
        <w:rPr>
          <w:rFonts w:hint="eastAsia" w:ascii="宋体" w:hAnsi="宋体" w:eastAsia="宋体" w:cs="宋体"/>
          <w:lang w:val="en-US" w:eastAsia="zh-CN"/>
        </w:rPr>
      </w:pPr>
      <w:r>
        <w:rPr>
          <w:rFonts w:hint="eastAsia" w:ascii="宋体" w:hAnsi="宋体" w:eastAsia="宋体" w:cs="宋体"/>
          <w:lang w:val="en-US" w:eastAsia="zh-CN"/>
        </w:rPr>
        <w:t>　　第十六条 评审小组由项目实施机构代表和评审专家共5人以上单数组成，其中评审专家人数不得少于评审小组成员总数的2/3。评审专家可以由项目实施机构自行选定，但评审专家中应至少包含1名财务专家和1名法律专家。项目实施机构代表不得以评审专家身份参加项目的评审。</w:t>
      </w:r>
    </w:p>
    <w:p>
      <w:pPr>
        <w:rPr>
          <w:rFonts w:hint="eastAsia" w:ascii="宋体" w:hAnsi="宋体" w:eastAsia="宋体" w:cs="宋体"/>
          <w:lang w:val="en-US" w:eastAsia="zh-CN"/>
        </w:rPr>
      </w:pPr>
      <w:r>
        <w:rPr>
          <w:rFonts w:hint="eastAsia" w:ascii="宋体" w:hAnsi="宋体" w:eastAsia="宋体" w:cs="宋体"/>
          <w:lang w:val="en-US" w:eastAsia="zh-CN"/>
        </w:rPr>
        <w:t>　　第十七条 项目采用公开招标、邀请招标、竞争性谈判、单一来源采购方式开展采购的，按照政府采购法律法规及有关规定执行。</w:t>
      </w:r>
    </w:p>
    <w:p>
      <w:pPr>
        <w:rPr>
          <w:rFonts w:hint="eastAsia" w:ascii="宋体" w:hAnsi="宋体" w:eastAsia="宋体" w:cs="宋体"/>
          <w:lang w:val="en-US" w:eastAsia="zh-CN"/>
        </w:rPr>
      </w:pPr>
      <w:r>
        <w:rPr>
          <w:rFonts w:hint="eastAsia" w:ascii="宋体" w:hAnsi="宋体" w:eastAsia="宋体" w:cs="宋体"/>
          <w:lang w:val="en-US" w:eastAsia="zh-CN"/>
        </w:rPr>
        <w:t>　　项目采用竞争性磋商采购方式开展采购的，按照下列基本程序进行：</w:t>
      </w:r>
    </w:p>
    <w:p>
      <w:pPr>
        <w:rPr>
          <w:rFonts w:hint="eastAsia" w:ascii="宋体" w:hAnsi="宋体" w:eastAsia="宋体" w:cs="宋体"/>
          <w:lang w:val="en-US" w:eastAsia="zh-CN"/>
        </w:rPr>
      </w:pPr>
      <w:r>
        <w:rPr>
          <w:rFonts w:hint="eastAsia" w:ascii="宋体" w:hAnsi="宋体" w:eastAsia="宋体" w:cs="宋体"/>
          <w:lang w:val="en-US" w:eastAsia="zh-CN"/>
        </w:rPr>
        <w:t>　　（一）采购公告发布及报名。</w:t>
      </w:r>
    </w:p>
    <w:p>
      <w:pPr>
        <w:rPr>
          <w:rFonts w:hint="eastAsia" w:ascii="宋体" w:hAnsi="宋体" w:eastAsia="宋体" w:cs="宋体"/>
          <w:lang w:val="en-US" w:eastAsia="zh-CN"/>
        </w:rPr>
      </w:pPr>
      <w:r>
        <w:rPr>
          <w:rFonts w:hint="eastAsia" w:ascii="宋体" w:hAnsi="宋体" w:eastAsia="宋体" w:cs="宋体"/>
          <w:lang w:val="en-US" w:eastAsia="zh-CN"/>
        </w:rPr>
        <w:t>　　竞争性磋商公告应在省级以上人民政府财政部门指定的媒体上发布。竞争性磋商公告应包括项目实施机构和项目名称、项目结构和核心边界条件、是否允许未进行资格预审的社会资本参与采购活动，以及审查原则、项目产出说明、对社会资本提供的响应文件要求、获取采购文件的时间、地点、方式及采购文件的售价、提交响应文件截止时间、开启时间及地点。提交响应文件的时间自公告发布之日起不得少于10日。</w:t>
      </w:r>
    </w:p>
    <w:p>
      <w:pPr>
        <w:rPr>
          <w:rFonts w:hint="eastAsia" w:ascii="宋体" w:hAnsi="宋体" w:eastAsia="宋体" w:cs="宋体"/>
          <w:lang w:val="en-US" w:eastAsia="zh-CN"/>
        </w:rPr>
      </w:pPr>
      <w:r>
        <w:rPr>
          <w:rFonts w:hint="eastAsia" w:ascii="宋体" w:hAnsi="宋体" w:eastAsia="宋体" w:cs="宋体"/>
          <w:lang w:val="en-US" w:eastAsia="zh-CN"/>
        </w:rPr>
        <w:t>　　（二）资格审查及采购文件发售。</w:t>
      </w:r>
    </w:p>
    <w:p>
      <w:pPr>
        <w:rPr>
          <w:rFonts w:hint="eastAsia" w:ascii="宋体" w:hAnsi="宋体" w:eastAsia="宋体" w:cs="宋体"/>
          <w:lang w:val="en-US" w:eastAsia="zh-CN"/>
        </w:rPr>
      </w:pPr>
      <w:r>
        <w:rPr>
          <w:rFonts w:hint="eastAsia" w:ascii="宋体" w:hAnsi="宋体" w:eastAsia="宋体" w:cs="宋体"/>
          <w:lang w:val="en-US" w:eastAsia="zh-CN"/>
        </w:rPr>
        <w:t>　　已进行资格预审的，评审小组在评审阶段不再对社会资本资格进行审查。允许进行资格后审的，由评审小组在响应文件评审环节对社会资本进行资格审查。项目实施机构可以视项目的具体情况，组织对符合条件的社会资本的资格条件，进行考察核实。</w:t>
      </w:r>
    </w:p>
    <w:p>
      <w:pPr>
        <w:rPr>
          <w:rFonts w:hint="eastAsia" w:ascii="宋体" w:hAnsi="宋体" w:eastAsia="宋体" w:cs="宋体"/>
          <w:lang w:val="en-US" w:eastAsia="zh-CN"/>
        </w:rPr>
      </w:pPr>
      <w:r>
        <w:rPr>
          <w:rFonts w:hint="eastAsia" w:ascii="宋体" w:hAnsi="宋体" w:eastAsia="宋体" w:cs="宋体"/>
          <w:lang w:val="en-US" w:eastAsia="zh-CN"/>
        </w:rPr>
        <w:t>　　采购文件售价，应按照弥补采购文件印制成本费用的原则确定，不得以营利为目的，不得以项目采购金额作为确定采购文件售价依据。采购文件的发售期限自开始之日起不得少于5个工作日。</w:t>
      </w:r>
    </w:p>
    <w:p>
      <w:pPr>
        <w:rPr>
          <w:rFonts w:hint="eastAsia" w:ascii="宋体" w:hAnsi="宋体" w:eastAsia="宋体" w:cs="宋体"/>
          <w:lang w:val="en-US" w:eastAsia="zh-CN"/>
        </w:rPr>
      </w:pPr>
      <w:r>
        <w:rPr>
          <w:rFonts w:hint="eastAsia" w:ascii="宋体" w:hAnsi="宋体" w:eastAsia="宋体" w:cs="宋体"/>
          <w:lang w:val="en-US" w:eastAsia="zh-CN"/>
        </w:rPr>
        <w:t>　　（三）采购文件的澄清或修改。</w:t>
      </w:r>
    </w:p>
    <w:p>
      <w:pPr>
        <w:rPr>
          <w:rFonts w:hint="eastAsia" w:ascii="宋体" w:hAnsi="宋体" w:eastAsia="宋体" w:cs="宋体"/>
          <w:lang w:val="en-US" w:eastAsia="zh-CN"/>
        </w:rPr>
      </w:pPr>
      <w:r>
        <w:rPr>
          <w:rFonts w:hint="eastAsia" w:ascii="宋体" w:hAnsi="宋体" w:eastAsia="宋体" w:cs="宋体"/>
          <w:lang w:val="en-US" w:eastAsia="zh-CN"/>
        </w:rPr>
        <w:t>　　提交首次响应文件截止之日前，项目实施机构可以对已发出的采购文件进行必要的澄清或修改，澄清或修改的内容应作为采购文件的组成部分。澄清或修改的内容可能影响响应文件编制的，项目实施机构应在提交首次响应文件截止时间至少5日前，以书面形式通知所有获取采购文件的社会资本；不足5日的，项目实施机构应顺延提交响应文件的截止时间。</w:t>
      </w:r>
    </w:p>
    <w:p>
      <w:pPr>
        <w:rPr>
          <w:rFonts w:hint="eastAsia" w:ascii="宋体" w:hAnsi="宋体" w:eastAsia="宋体" w:cs="宋体"/>
          <w:lang w:val="en-US" w:eastAsia="zh-CN"/>
        </w:rPr>
      </w:pPr>
      <w:r>
        <w:rPr>
          <w:rFonts w:hint="eastAsia" w:ascii="宋体" w:hAnsi="宋体" w:eastAsia="宋体" w:cs="宋体"/>
          <w:lang w:val="en-US" w:eastAsia="zh-CN"/>
        </w:rPr>
        <w:t>　　（四）响应文件评审。</w:t>
      </w:r>
    </w:p>
    <w:p>
      <w:pPr>
        <w:rPr>
          <w:rFonts w:hint="eastAsia" w:ascii="宋体" w:hAnsi="宋体" w:eastAsia="宋体" w:cs="宋体"/>
          <w:lang w:val="en-US" w:eastAsia="zh-CN"/>
        </w:rPr>
      </w:pPr>
      <w:r>
        <w:rPr>
          <w:rFonts w:hint="eastAsia" w:ascii="宋体" w:hAnsi="宋体" w:eastAsia="宋体" w:cs="宋体"/>
          <w:lang w:val="en-US" w:eastAsia="zh-CN"/>
        </w:rPr>
        <w:t>　　项目实施机构应按照采购文件规定组织响应文件的接收和开启。</w:t>
      </w:r>
    </w:p>
    <w:p>
      <w:pPr>
        <w:rPr>
          <w:rFonts w:hint="eastAsia" w:ascii="宋体" w:hAnsi="宋体" w:eastAsia="宋体" w:cs="宋体"/>
          <w:lang w:val="en-US" w:eastAsia="zh-CN"/>
        </w:rPr>
      </w:pPr>
      <w:r>
        <w:rPr>
          <w:rFonts w:hint="eastAsia" w:ascii="宋体" w:hAnsi="宋体" w:eastAsia="宋体" w:cs="宋体"/>
          <w:lang w:val="en-US" w:eastAsia="zh-CN"/>
        </w:rPr>
        <w:t>　　评审小组对响应文件进行两阶段评审：</w:t>
      </w:r>
    </w:p>
    <w:p>
      <w:pPr>
        <w:rPr>
          <w:rFonts w:hint="eastAsia" w:ascii="宋体" w:hAnsi="宋体" w:eastAsia="宋体" w:cs="宋体"/>
          <w:lang w:val="en-US" w:eastAsia="zh-CN"/>
        </w:rPr>
      </w:pPr>
      <w:r>
        <w:rPr>
          <w:rFonts w:hint="eastAsia" w:ascii="宋体" w:hAnsi="宋体" w:eastAsia="宋体" w:cs="宋体"/>
          <w:lang w:val="en-US" w:eastAsia="zh-CN"/>
        </w:rPr>
        <w:t>　　第一阶段：确定最终采购需求方案。评审小组可以与社会资本进行多轮谈判，谈判过程中可实质性修订采购文件的技术、服务要求以及合同草案条款，但不得修订采购文件中规定的不可谈判核心条件。实质性变动的内容，须经项目实施机构确认，并通知所有参与谈判的社会资本。具体程序按照《政府采购非招标方式管理办法》及有关规定执行。</w:t>
      </w:r>
    </w:p>
    <w:p>
      <w:pPr>
        <w:rPr>
          <w:rFonts w:hint="eastAsia" w:ascii="宋体" w:hAnsi="宋体" w:eastAsia="宋体" w:cs="宋体"/>
          <w:lang w:val="en-US" w:eastAsia="zh-CN"/>
        </w:rPr>
      </w:pPr>
      <w:r>
        <w:rPr>
          <w:rFonts w:hint="eastAsia" w:ascii="宋体" w:hAnsi="宋体" w:eastAsia="宋体" w:cs="宋体"/>
          <w:lang w:val="en-US" w:eastAsia="zh-CN"/>
        </w:rPr>
        <w:t>　　第二阶段：综合评分。最终采购需求方案确定后，由评审小组对社会资本提交的最终响应文件进行综合评分，编写评审报告并向项目实施机构提交候选社会资本的排序名单。具体程序按照《政府采购货物和服务招标投标管理办法》及有关规定执行。</w:t>
      </w:r>
    </w:p>
    <w:p>
      <w:pPr>
        <w:rPr>
          <w:rFonts w:hint="eastAsia" w:ascii="宋体" w:hAnsi="宋体" w:eastAsia="宋体" w:cs="宋体"/>
          <w:lang w:val="en-US" w:eastAsia="zh-CN"/>
        </w:rPr>
      </w:pPr>
      <w:r>
        <w:rPr>
          <w:rFonts w:hint="eastAsia" w:ascii="宋体" w:hAnsi="宋体" w:eastAsia="宋体" w:cs="宋体"/>
          <w:lang w:val="en-US" w:eastAsia="zh-CN"/>
        </w:rPr>
        <w:t>　　第十八条 项目实施机构应在资格预审公告、采购公告、采购文件、采购合同中，列明对本国社会资本的优惠措施及幅度、外方社会资本采购我国生产的货物和服务要求等相关政府采购政策，以及对社会资本参与采购活动和履约保证的强制担保要求。社会资本应以支票、汇票、本票或金融机构、担保机构出具的保函等非现金形式缴纳保证金。参加采购活动的保证金的数额不得超过项目预算金额的2%。履约保证金的数额不得超过政府和社会资本合作项目初始投资总额或资产评估值的10%。无固定资产投资或投资额不大的服务型合作项目，履约保证金的数额不得超过平均6个月的服务收入额。</w:t>
      </w:r>
    </w:p>
    <w:p>
      <w:pPr>
        <w:rPr>
          <w:rFonts w:hint="eastAsia" w:ascii="宋体" w:hAnsi="宋体" w:eastAsia="宋体" w:cs="宋体"/>
          <w:lang w:val="en-US" w:eastAsia="zh-CN"/>
        </w:rPr>
      </w:pPr>
      <w:r>
        <w:rPr>
          <w:rFonts w:hint="eastAsia" w:ascii="宋体" w:hAnsi="宋体" w:eastAsia="宋体" w:cs="宋体"/>
          <w:lang w:val="en-US" w:eastAsia="zh-CN"/>
        </w:rPr>
        <w:t>　　第十九条 项目实施机构应组织社会资本进行现场考察或召开采购前答疑会，但不得单独或分别组织只有一个社会资本参加的现场考察和答疑会。</w:t>
      </w:r>
    </w:p>
    <w:p>
      <w:pPr>
        <w:rPr>
          <w:rFonts w:hint="eastAsia" w:ascii="宋体" w:hAnsi="宋体" w:eastAsia="宋体" w:cs="宋体"/>
          <w:lang w:val="en-US" w:eastAsia="zh-CN"/>
        </w:rPr>
      </w:pPr>
      <w:r>
        <w:rPr>
          <w:rFonts w:hint="eastAsia" w:ascii="宋体" w:hAnsi="宋体" w:eastAsia="宋体" w:cs="宋体"/>
          <w:lang w:val="en-US" w:eastAsia="zh-CN"/>
        </w:rPr>
        <w:t>　　第二十条 项目实施机构应成立专门的采购结果确认谈判工作组。按照候选社会资本的排名，依次与候选社会资本及与其合作的金融机构就合同中可变的细节问题进行合同签署前的确认谈判，率先达成一致的即为中选者。确认谈判不得涉及合同中不可谈判的核心条款，不得与排序在前但已终止谈判的社会资本进行再次谈判。</w:t>
      </w:r>
    </w:p>
    <w:p>
      <w:pPr>
        <w:rPr>
          <w:rFonts w:hint="eastAsia" w:ascii="宋体" w:hAnsi="宋体" w:eastAsia="宋体" w:cs="宋体"/>
          <w:lang w:val="en-US" w:eastAsia="zh-CN"/>
        </w:rPr>
      </w:pPr>
      <w:r>
        <w:rPr>
          <w:rFonts w:hint="eastAsia" w:ascii="宋体" w:hAnsi="宋体" w:eastAsia="宋体" w:cs="宋体"/>
          <w:lang w:val="en-US" w:eastAsia="zh-CN"/>
        </w:rPr>
        <w:t>　　第二十一条 确认谈判完成后，项目实施机构应与中选社会资本签署确认谈判备忘录，并将采购结果和根据采购文件、响应文件、补遗文件和确认谈判备忘录拟定的合同文本进行公示，公示期不得少于5个工作日。合同文本应将中选社会资本响应文件中的重要承诺和技术文件等作为附件。合同文本中涉及国家秘密、商业秘密的内容可以不公示。</w:t>
      </w:r>
    </w:p>
    <w:p>
      <w:pPr>
        <w:rPr>
          <w:rFonts w:hint="eastAsia" w:ascii="宋体" w:hAnsi="宋体" w:eastAsia="宋体" w:cs="宋体"/>
          <w:lang w:val="en-US" w:eastAsia="zh-CN"/>
        </w:rPr>
      </w:pPr>
      <w:r>
        <w:rPr>
          <w:rFonts w:hint="eastAsia" w:ascii="宋体" w:hAnsi="宋体" w:eastAsia="宋体" w:cs="宋体"/>
          <w:lang w:val="en-US" w:eastAsia="zh-CN"/>
        </w:rPr>
        <w:t>　　公示期满无异议的项目合同，应在政府审核同意后，由项目实施机构与中选社会资本签署。</w:t>
      </w:r>
    </w:p>
    <w:p>
      <w:pPr>
        <w:rPr>
          <w:rFonts w:hint="eastAsia" w:ascii="宋体" w:hAnsi="宋体" w:eastAsia="宋体" w:cs="宋体"/>
          <w:lang w:val="en-US" w:eastAsia="zh-CN"/>
        </w:rPr>
      </w:pPr>
      <w:r>
        <w:rPr>
          <w:rFonts w:hint="eastAsia" w:ascii="宋体" w:hAnsi="宋体" w:eastAsia="宋体" w:cs="宋体"/>
          <w:lang w:val="en-US" w:eastAsia="zh-CN"/>
        </w:rPr>
        <w:t>需要为项目设立专门项目公司的，待项目公司成立后，由项目公司与项目实施机构重新签署项目合同，或签署关于承继项目合同的补充合同。</w:t>
      </w:r>
    </w:p>
    <w:p>
      <w:pPr>
        <w:rPr>
          <w:rFonts w:hint="eastAsia" w:ascii="宋体" w:hAnsi="宋体" w:eastAsia="宋体" w:cs="宋体"/>
          <w:lang w:val="en-US" w:eastAsia="zh-CN"/>
        </w:rPr>
      </w:pPr>
      <w:r>
        <w:rPr>
          <w:rFonts w:hint="eastAsia" w:ascii="宋体" w:hAnsi="宋体" w:eastAsia="宋体" w:cs="宋体"/>
          <w:lang w:val="en-US" w:eastAsia="zh-CN"/>
        </w:rPr>
        <w:t>　　项目实施机构应在项目合同签订之日起2个工作日内，将项目合同在省级以上人民政府财政部门指定的媒体上公告，但合同中涉及国家秘密、商业秘密的内容除外。</w:t>
      </w:r>
    </w:p>
    <w:p>
      <w:pPr>
        <w:ind w:firstLine="420"/>
        <w:rPr>
          <w:rFonts w:hint="eastAsia" w:ascii="宋体" w:hAnsi="宋体" w:eastAsia="宋体" w:cs="宋体"/>
          <w:lang w:val="en-US" w:eastAsia="zh-CN"/>
        </w:rPr>
      </w:pPr>
      <w:r>
        <w:rPr>
          <w:rFonts w:hint="eastAsia" w:ascii="宋体" w:hAnsi="宋体" w:eastAsia="宋体" w:cs="宋体"/>
          <w:lang w:val="en-US" w:eastAsia="zh-CN"/>
        </w:rPr>
        <w:t>第二十二条 各级人民政府财政部门应当加强对PPP项目采购活动的监督检查，及时处理采购活动中的违法违规行为。</w:t>
      </w:r>
    </w:p>
    <w:p>
      <w:pPr>
        <w:ind w:firstLine="420"/>
        <w:rPr>
          <w:rFonts w:hint="eastAsia" w:ascii="宋体" w:hAnsi="宋体" w:eastAsia="宋体" w:cs="宋体"/>
          <w:lang w:val="en-US" w:eastAsia="zh-CN"/>
        </w:rPr>
      </w:pPr>
    </w:p>
    <w:p>
      <w:pPr>
        <w:rPr>
          <w:rFonts w:hint="eastAsia" w:ascii="宋体" w:hAnsi="宋体" w:eastAsia="宋体" w:cs="宋体"/>
          <w:b/>
          <w:bCs/>
          <w:lang w:val="en-US" w:eastAsia="zh-CN"/>
        </w:rPr>
      </w:pPr>
      <w:r>
        <w:rPr>
          <w:rFonts w:hint="eastAsia" w:ascii="宋体" w:hAnsi="宋体" w:eastAsia="宋体" w:cs="宋体"/>
          <w:b/>
          <w:bCs/>
          <w:lang w:val="en-US" w:eastAsia="zh-CN"/>
        </w:rPr>
        <w:t>　　第五章 项目执行</w:t>
      </w:r>
    </w:p>
    <w:p>
      <w:pPr>
        <w:rPr>
          <w:rFonts w:hint="eastAsia" w:ascii="宋体" w:hAnsi="宋体" w:eastAsia="宋体" w:cs="宋体"/>
          <w:lang w:val="en-US" w:eastAsia="zh-CN"/>
        </w:rPr>
      </w:pPr>
      <w:r>
        <w:rPr>
          <w:rFonts w:hint="eastAsia" w:ascii="宋体" w:hAnsi="宋体" w:eastAsia="宋体" w:cs="宋体"/>
          <w:lang w:val="en-US" w:eastAsia="zh-CN"/>
        </w:rPr>
        <w:t>　　第二十三条 社会资本可依法设立项目公司。政府可指定相关机构依法参股项目公司。项目实施机构和财政部门（政府和社会资本合作中心）应监督社会资本按照采购文件和项目合同约定，按时足额出资设立项目公司。</w:t>
      </w:r>
    </w:p>
    <w:p>
      <w:pPr>
        <w:rPr>
          <w:rFonts w:hint="eastAsia" w:ascii="宋体" w:hAnsi="宋体" w:eastAsia="宋体" w:cs="宋体"/>
          <w:lang w:val="en-US" w:eastAsia="zh-CN"/>
        </w:rPr>
      </w:pPr>
      <w:r>
        <w:rPr>
          <w:rFonts w:hint="eastAsia" w:ascii="宋体" w:hAnsi="宋体" w:eastAsia="宋体" w:cs="宋体"/>
          <w:lang w:val="en-US" w:eastAsia="zh-CN"/>
        </w:rPr>
        <w:t>　　第二十四条 项目融资由社会资本或项目公司负责。社会资本或项目公司应及时开展融资方案设计、机构接洽、合同签订和融资交割等工作。财政部门（政府和社会资本合作中心）和项目实施机构应做好监督管理工作，防止企业债务向政府转移。</w:t>
      </w:r>
    </w:p>
    <w:p>
      <w:pPr>
        <w:rPr>
          <w:rFonts w:hint="eastAsia" w:ascii="宋体" w:hAnsi="宋体" w:eastAsia="宋体" w:cs="宋体"/>
          <w:lang w:val="en-US" w:eastAsia="zh-CN"/>
        </w:rPr>
      </w:pPr>
      <w:r>
        <w:rPr>
          <w:rFonts w:hint="eastAsia" w:ascii="宋体" w:hAnsi="宋体" w:eastAsia="宋体" w:cs="宋体"/>
          <w:lang w:val="en-US" w:eastAsia="zh-CN"/>
        </w:rPr>
        <w:t>　　社会资本或项目公司未按照项目合同约定完成融资的，政府可提取履约保函直至终止项目合同；遇系统性金融风险或不可抗力的，政府、社会资本或项目公司可根据项目合同约定协商修订合同中相关融资条款。</w:t>
      </w:r>
    </w:p>
    <w:p>
      <w:pPr>
        <w:rPr>
          <w:rFonts w:hint="eastAsia" w:ascii="宋体" w:hAnsi="宋体" w:eastAsia="宋体" w:cs="宋体"/>
          <w:lang w:val="en-US" w:eastAsia="zh-CN"/>
        </w:rPr>
      </w:pPr>
      <w:r>
        <w:rPr>
          <w:rFonts w:hint="eastAsia" w:ascii="宋体" w:hAnsi="宋体" w:eastAsia="宋体" w:cs="宋体"/>
          <w:lang w:val="en-US" w:eastAsia="zh-CN"/>
        </w:rPr>
        <w:t>　　当项目出现重大经营或财务风险，威胁或侵害债权人利益时，债权人可依据与政府、社会资本或项目公司签订的直接介入协议或条款，要求社会资本或项目公司改善管理等。在直接介入协议或条款约定期限内，重大风险已解除的，债权人应停止介入。</w:t>
      </w:r>
    </w:p>
    <w:p>
      <w:pPr>
        <w:rPr>
          <w:rFonts w:hint="eastAsia" w:ascii="宋体" w:hAnsi="宋体" w:eastAsia="宋体" w:cs="宋体"/>
          <w:lang w:val="en-US" w:eastAsia="zh-CN"/>
        </w:rPr>
      </w:pPr>
      <w:r>
        <w:rPr>
          <w:rFonts w:hint="eastAsia" w:ascii="宋体" w:hAnsi="宋体" w:eastAsia="宋体" w:cs="宋体"/>
          <w:lang w:val="en-US" w:eastAsia="zh-CN"/>
        </w:rPr>
        <w:t>　　第二十五条 项目合同中涉及的政府支付义务，财政部门应结合中长期财政规划统筹考虑，纳入同级政府预算，按照预算管理相关规定执行。财政部门（政府和社会资本合作中心）和项目实施机构应建立政府和社会资本合作项目政府支付台账，严格控制政府财政风险。在政府综合财务报告制度建立后，政府和社会资本合作项目中的政府支付义务应纳入政府综合财务报告。</w:t>
      </w:r>
    </w:p>
    <w:p>
      <w:pPr>
        <w:rPr>
          <w:rFonts w:hint="eastAsia" w:ascii="宋体" w:hAnsi="宋体" w:eastAsia="宋体" w:cs="宋体"/>
          <w:lang w:val="en-US" w:eastAsia="zh-CN"/>
        </w:rPr>
      </w:pPr>
      <w:r>
        <w:rPr>
          <w:rFonts w:hint="eastAsia" w:ascii="宋体" w:hAnsi="宋体" w:eastAsia="宋体" w:cs="宋体"/>
          <w:lang w:val="en-US" w:eastAsia="zh-CN"/>
        </w:rPr>
        <w:t>　　第二十六条 项目实施机构应根据项目合同约定，监督社会资本或项目公司履行合同义务，定期监测项目产出绩效指标，编制季报和年报，并报财政部门（政府和社会资本合作中心）备案。</w:t>
      </w:r>
    </w:p>
    <w:p>
      <w:pPr>
        <w:rPr>
          <w:rFonts w:hint="eastAsia" w:ascii="宋体" w:hAnsi="宋体" w:eastAsia="宋体" w:cs="宋体"/>
          <w:lang w:val="en-US" w:eastAsia="zh-CN"/>
        </w:rPr>
      </w:pPr>
      <w:r>
        <w:rPr>
          <w:rFonts w:hint="eastAsia" w:ascii="宋体" w:hAnsi="宋体" w:eastAsia="宋体" w:cs="宋体"/>
          <w:lang w:val="en-US" w:eastAsia="zh-CN"/>
        </w:rPr>
        <w:t>　　政府有支付义务的，项目实施机构应根据项目合同约定的产出说明，按照实际绩效直接或通知财政部门向社会资本或项目公司及时足额支付。设置超额收益分享机制的，社会资本或项目公司应根据项目合同约定向政府及时足额支付应享有的超额收益。</w:t>
      </w:r>
    </w:p>
    <w:p>
      <w:pPr>
        <w:rPr>
          <w:rFonts w:hint="eastAsia" w:ascii="宋体" w:hAnsi="宋体" w:eastAsia="宋体" w:cs="宋体"/>
          <w:lang w:val="en-US" w:eastAsia="zh-CN"/>
        </w:rPr>
      </w:pPr>
      <w:r>
        <w:rPr>
          <w:rFonts w:hint="eastAsia" w:ascii="宋体" w:hAnsi="宋体" w:eastAsia="宋体" w:cs="宋体"/>
          <w:lang w:val="en-US" w:eastAsia="zh-CN"/>
        </w:rPr>
        <w:t>　项目实际绩效优于约定标准的，项目实施机构应执行项目合同约定的奖励条款，并可将其作为项目期满合同能否展期的依据；未达到约定标准的，项目实施机构应执行项目合同约定的惩处条款或救济措施。</w:t>
      </w:r>
    </w:p>
    <w:p>
      <w:pPr>
        <w:rPr>
          <w:rFonts w:hint="eastAsia" w:ascii="宋体" w:hAnsi="宋体" w:eastAsia="宋体" w:cs="宋体"/>
          <w:lang w:val="en-US" w:eastAsia="zh-CN"/>
        </w:rPr>
      </w:pPr>
      <w:r>
        <w:rPr>
          <w:rFonts w:hint="eastAsia" w:ascii="宋体" w:hAnsi="宋体" w:eastAsia="宋体" w:cs="宋体"/>
          <w:lang w:val="en-US" w:eastAsia="zh-CN"/>
        </w:rPr>
        <w:t>　　第二十七条 社会资本或项目公司违反项目合同约定，威胁公共产品和服务持续稳定安全供给，或危及国家安全和重大公共利益的，政府有权临时接管项目，直至启动项目提前终止程序。</w:t>
      </w:r>
    </w:p>
    <w:p>
      <w:pPr>
        <w:rPr>
          <w:rFonts w:hint="eastAsia" w:ascii="宋体" w:hAnsi="宋体" w:eastAsia="宋体" w:cs="宋体"/>
          <w:lang w:val="en-US" w:eastAsia="zh-CN"/>
        </w:rPr>
      </w:pPr>
      <w:r>
        <w:rPr>
          <w:rFonts w:hint="eastAsia" w:ascii="宋体" w:hAnsi="宋体" w:eastAsia="宋体" w:cs="宋体"/>
          <w:lang w:val="en-US" w:eastAsia="zh-CN"/>
        </w:rPr>
        <w:t>　　政府可指定合格机构实施临时接管。临时接管项目所产生的一切费用，将根据项目合同约定，由违约方单独承担或由各责任方分担。社会资本或项目公司应承担的临时接管费用，可以从其应获终止补偿中扣减。</w:t>
      </w:r>
    </w:p>
    <w:p>
      <w:pPr>
        <w:rPr>
          <w:rFonts w:hint="eastAsia" w:ascii="宋体" w:hAnsi="宋体" w:eastAsia="宋体" w:cs="宋体"/>
          <w:lang w:val="en-US" w:eastAsia="zh-CN"/>
        </w:rPr>
      </w:pPr>
      <w:r>
        <w:rPr>
          <w:rFonts w:hint="eastAsia" w:ascii="宋体" w:hAnsi="宋体" w:eastAsia="宋体" w:cs="宋体"/>
          <w:lang w:val="en-US" w:eastAsia="zh-CN"/>
        </w:rPr>
        <w:t>　　第二十八条 在项目合同执行和管理过程中，项目实施机构应重点关注合同修订、违约责任和争议解决等工作。</w:t>
      </w:r>
    </w:p>
    <w:p>
      <w:pPr>
        <w:rPr>
          <w:rFonts w:hint="eastAsia" w:ascii="宋体" w:hAnsi="宋体" w:eastAsia="宋体" w:cs="宋体"/>
          <w:lang w:val="en-US" w:eastAsia="zh-CN"/>
        </w:rPr>
      </w:pPr>
      <w:r>
        <w:rPr>
          <w:rFonts w:hint="eastAsia" w:ascii="宋体" w:hAnsi="宋体" w:eastAsia="宋体" w:cs="宋体"/>
          <w:lang w:val="en-US" w:eastAsia="zh-CN"/>
        </w:rPr>
        <w:t>　　（一）合同修订。</w:t>
      </w:r>
    </w:p>
    <w:p>
      <w:pPr>
        <w:rPr>
          <w:rFonts w:hint="eastAsia" w:ascii="宋体" w:hAnsi="宋体" w:eastAsia="宋体" w:cs="宋体"/>
          <w:lang w:val="en-US" w:eastAsia="zh-CN"/>
        </w:rPr>
      </w:pPr>
      <w:r>
        <w:rPr>
          <w:rFonts w:hint="eastAsia" w:ascii="宋体" w:hAnsi="宋体" w:eastAsia="宋体" w:cs="宋体"/>
          <w:lang w:val="en-US" w:eastAsia="zh-CN"/>
        </w:rPr>
        <w:t>　　按照项目合同约定的条件和程序，项目实施机构和社会资本或项目公司可根据社会经济环境、公共产品和服务的需求量及结构等条件的变化，提出修订项目合同申请，待政府审核同意后执行。</w:t>
      </w:r>
    </w:p>
    <w:p>
      <w:pPr>
        <w:rPr>
          <w:rFonts w:hint="eastAsia" w:ascii="宋体" w:hAnsi="宋体" w:eastAsia="宋体" w:cs="宋体"/>
          <w:lang w:val="en-US" w:eastAsia="zh-CN"/>
        </w:rPr>
      </w:pPr>
      <w:r>
        <w:rPr>
          <w:rFonts w:hint="eastAsia" w:ascii="宋体" w:hAnsi="宋体" w:eastAsia="宋体" w:cs="宋体"/>
          <w:lang w:val="en-US" w:eastAsia="zh-CN"/>
        </w:rPr>
        <w:t>　　（二）违约责任。</w:t>
      </w:r>
    </w:p>
    <w:p>
      <w:pPr>
        <w:rPr>
          <w:rFonts w:hint="eastAsia" w:ascii="宋体" w:hAnsi="宋体" w:eastAsia="宋体" w:cs="宋体"/>
          <w:lang w:val="en-US" w:eastAsia="zh-CN"/>
        </w:rPr>
      </w:pPr>
      <w:r>
        <w:rPr>
          <w:rFonts w:hint="eastAsia" w:ascii="宋体" w:hAnsi="宋体" w:eastAsia="宋体" w:cs="宋体"/>
          <w:lang w:val="en-US" w:eastAsia="zh-CN"/>
        </w:rPr>
        <w:t>　　项目实施机构、社会资本或项目公司未履行项目合同约定义务的，应承担相应违约责任，包括停止侵害、消除影响、支付违约金、赔偿损失以及解除项目合同等。</w:t>
      </w:r>
    </w:p>
    <w:p>
      <w:pPr>
        <w:rPr>
          <w:rFonts w:hint="eastAsia" w:ascii="宋体" w:hAnsi="宋体" w:eastAsia="宋体" w:cs="宋体"/>
          <w:lang w:val="en-US" w:eastAsia="zh-CN"/>
        </w:rPr>
      </w:pPr>
      <w:r>
        <w:rPr>
          <w:rFonts w:hint="eastAsia" w:ascii="宋体" w:hAnsi="宋体" w:eastAsia="宋体" w:cs="宋体"/>
          <w:lang w:val="en-US" w:eastAsia="zh-CN"/>
        </w:rPr>
        <w:t>　　（三）争议解决。</w:t>
      </w:r>
    </w:p>
    <w:p>
      <w:pPr>
        <w:rPr>
          <w:rFonts w:hint="eastAsia" w:ascii="宋体" w:hAnsi="宋体" w:eastAsia="宋体" w:cs="宋体"/>
          <w:lang w:val="en-US" w:eastAsia="zh-CN"/>
        </w:rPr>
      </w:pPr>
      <w:r>
        <w:rPr>
          <w:rFonts w:hint="eastAsia" w:ascii="宋体" w:hAnsi="宋体" w:eastAsia="宋体" w:cs="宋体"/>
          <w:lang w:val="en-US" w:eastAsia="zh-CN"/>
        </w:rPr>
        <w:t>　　在项目实施过程中，按照项目合同约定，项目实施机构、社会资本或项目公司可就发生争议且无法协商达成一致的事项，依法申请仲裁或提起民事诉讼。</w:t>
      </w:r>
    </w:p>
    <w:p>
      <w:pPr>
        <w:rPr>
          <w:rFonts w:hint="eastAsia" w:ascii="宋体" w:hAnsi="宋体" w:eastAsia="宋体" w:cs="宋体"/>
          <w:lang w:val="en-US" w:eastAsia="zh-CN"/>
        </w:rPr>
      </w:pPr>
      <w:r>
        <w:rPr>
          <w:rFonts w:hint="eastAsia" w:ascii="宋体" w:hAnsi="宋体" w:eastAsia="宋体" w:cs="宋体"/>
          <w:lang w:val="en-US" w:eastAsia="zh-CN"/>
        </w:rPr>
        <w:t>　　第二十九条 项目实施机构应每3-5年对项目进行中期评估，重点分析项目运行状况和项目合同的合规性、适应性和合理性；及时评估已发现问题的风险，制订应对措施，并报财政部门（政府和社会资本合作中心）备案。</w:t>
      </w:r>
    </w:p>
    <w:p>
      <w:pPr>
        <w:rPr>
          <w:rFonts w:hint="eastAsia" w:ascii="宋体" w:hAnsi="宋体" w:eastAsia="宋体" w:cs="宋体"/>
          <w:lang w:val="en-US" w:eastAsia="zh-CN"/>
        </w:rPr>
      </w:pPr>
      <w:r>
        <w:rPr>
          <w:rFonts w:hint="eastAsia" w:ascii="宋体" w:hAnsi="宋体" w:eastAsia="宋体" w:cs="宋体"/>
          <w:lang w:val="en-US" w:eastAsia="zh-CN"/>
        </w:rPr>
        <w:t>第三十条 政府相关职能部门应根据国家相关法律法规对项目履行行政监管职责，重点关注公共产品和服务质量、价格和收费机制、安全生产、环境保护和劳动者权益等。</w:t>
      </w:r>
    </w:p>
    <w:p>
      <w:pPr>
        <w:rPr>
          <w:rFonts w:hint="eastAsia" w:ascii="宋体" w:hAnsi="宋体" w:eastAsia="宋体" w:cs="宋体"/>
          <w:lang w:val="en-US" w:eastAsia="zh-CN"/>
        </w:rPr>
      </w:pPr>
      <w:r>
        <w:rPr>
          <w:rFonts w:hint="eastAsia" w:ascii="宋体" w:hAnsi="宋体" w:eastAsia="宋体" w:cs="宋体"/>
          <w:lang w:val="en-US" w:eastAsia="zh-CN"/>
        </w:rPr>
        <w:t>　　社会资本或项目公司对政府职能部门的行政监管处理决定不服的，可依法申请行政复议或提起行政诉讼。</w:t>
      </w:r>
    </w:p>
    <w:p>
      <w:pPr>
        <w:rPr>
          <w:rFonts w:hint="eastAsia" w:ascii="宋体" w:hAnsi="宋体" w:eastAsia="宋体" w:cs="宋体"/>
          <w:lang w:val="en-US" w:eastAsia="zh-CN"/>
        </w:rPr>
      </w:pPr>
      <w:r>
        <w:rPr>
          <w:rFonts w:hint="eastAsia" w:ascii="宋体" w:hAnsi="宋体" w:eastAsia="宋体" w:cs="宋体"/>
          <w:lang w:val="en-US" w:eastAsia="zh-CN"/>
        </w:rPr>
        <w:t>　　第三十一条 政府、社会资本或项目公司应依法公开披露项目相关信息，保障公众知情权，接受社会监督。</w:t>
      </w:r>
    </w:p>
    <w:p>
      <w:pPr>
        <w:rPr>
          <w:rFonts w:hint="eastAsia" w:ascii="宋体" w:hAnsi="宋体" w:eastAsia="宋体" w:cs="宋体"/>
          <w:lang w:val="en-US" w:eastAsia="zh-CN"/>
        </w:rPr>
      </w:pPr>
      <w:r>
        <w:rPr>
          <w:rFonts w:hint="eastAsia" w:ascii="宋体" w:hAnsi="宋体" w:eastAsia="宋体" w:cs="宋体"/>
          <w:lang w:val="en-US" w:eastAsia="zh-CN"/>
        </w:rPr>
        <w:t>　　社会资本或项目公司应披露项目产出的数量和质量、项目经营状况等信息。政府应公开不涉及国家秘密、商业秘密的政府和社会资本合作项目合同条款、绩效监测报告、中期评估报告和项目重大变更或终止情况等。</w:t>
      </w:r>
    </w:p>
    <w:p>
      <w:pPr>
        <w:ind w:firstLine="420"/>
        <w:rPr>
          <w:rFonts w:hint="eastAsia" w:ascii="宋体" w:hAnsi="宋体" w:eastAsia="宋体" w:cs="宋体"/>
          <w:lang w:val="en-US" w:eastAsia="zh-CN"/>
        </w:rPr>
      </w:pPr>
      <w:r>
        <w:rPr>
          <w:rFonts w:hint="eastAsia" w:ascii="宋体" w:hAnsi="宋体" w:eastAsia="宋体" w:cs="宋体"/>
          <w:lang w:val="en-US" w:eastAsia="zh-CN"/>
        </w:rPr>
        <w:t>社会公众及项目利益相关方发现项目存在违法、违约情形或公共产品和服务不达标准的，可向政府职能部门提请监督检查。</w:t>
      </w:r>
    </w:p>
    <w:p>
      <w:pPr>
        <w:ind w:firstLine="420"/>
        <w:rPr>
          <w:rFonts w:hint="eastAsia" w:ascii="宋体" w:hAnsi="宋体" w:eastAsia="宋体" w:cs="宋体"/>
          <w:lang w:val="en-US" w:eastAsia="zh-CN"/>
        </w:rPr>
      </w:pPr>
    </w:p>
    <w:p>
      <w:pPr>
        <w:rPr>
          <w:rFonts w:hint="eastAsia" w:ascii="宋体" w:hAnsi="宋体" w:eastAsia="宋体" w:cs="宋体"/>
          <w:b/>
          <w:bCs/>
          <w:lang w:val="en-US" w:eastAsia="zh-CN"/>
        </w:rPr>
      </w:pPr>
      <w:r>
        <w:rPr>
          <w:rFonts w:hint="eastAsia" w:ascii="宋体" w:hAnsi="宋体" w:eastAsia="宋体" w:cs="宋体"/>
          <w:b/>
          <w:bCs/>
          <w:lang w:val="en-US" w:eastAsia="zh-CN"/>
        </w:rPr>
        <w:t>　　第六章 项目移交</w:t>
      </w:r>
    </w:p>
    <w:p>
      <w:pPr>
        <w:rPr>
          <w:rFonts w:hint="eastAsia" w:ascii="宋体" w:hAnsi="宋体" w:eastAsia="宋体" w:cs="宋体"/>
          <w:lang w:val="en-US" w:eastAsia="zh-CN"/>
        </w:rPr>
      </w:pPr>
      <w:r>
        <w:rPr>
          <w:rFonts w:hint="eastAsia" w:ascii="宋体" w:hAnsi="宋体" w:eastAsia="宋体" w:cs="宋体"/>
          <w:lang w:val="en-US" w:eastAsia="zh-CN"/>
        </w:rPr>
        <w:t>　　第三十二条 项目移交时，项目实施机构或政府指定的其他机构代表政府收回项目合同约定的项目资产。</w:t>
      </w:r>
    </w:p>
    <w:p>
      <w:pPr>
        <w:rPr>
          <w:rFonts w:hint="eastAsia" w:ascii="宋体" w:hAnsi="宋体" w:eastAsia="宋体" w:cs="宋体"/>
          <w:lang w:val="en-US" w:eastAsia="zh-CN"/>
        </w:rPr>
      </w:pPr>
      <w:r>
        <w:rPr>
          <w:rFonts w:hint="eastAsia" w:ascii="宋体" w:hAnsi="宋体" w:eastAsia="宋体" w:cs="宋体"/>
          <w:lang w:val="en-US" w:eastAsia="zh-CN"/>
        </w:rPr>
        <w:t>　　项目合同中应明确约定移交形式、补偿方式、移交内容和移交标准。移交形式包括期满终止移交和提前终止移交；补偿方式包括无偿移交和有偿移交；移交内容包括项目资产、人员、文档和知识产权等；移交标准包括设备完好率和最短可使用年限等指标。</w:t>
      </w:r>
    </w:p>
    <w:p>
      <w:pPr>
        <w:rPr>
          <w:rFonts w:hint="eastAsia" w:ascii="宋体" w:hAnsi="宋体" w:eastAsia="宋体" w:cs="宋体"/>
          <w:lang w:val="en-US" w:eastAsia="zh-CN"/>
        </w:rPr>
      </w:pPr>
      <w:r>
        <w:rPr>
          <w:rFonts w:hint="eastAsia" w:ascii="宋体" w:hAnsi="宋体" w:eastAsia="宋体" w:cs="宋体"/>
          <w:lang w:val="en-US" w:eastAsia="zh-CN"/>
        </w:rPr>
        <w:t>　　采用有偿移交的，项目合同中应明确约定补偿方案；没有约定或约定不明的，项目实施机构应按照“恢复相同经济地位”原则拟定补偿方案，报政府审核同意后实施。</w:t>
      </w:r>
    </w:p>
    <w:p>
      <w:pPr>
        <w:rPr>
          <w:rFonts w:hint="eastAsia" w:ascii="宋体" w:hAnsi="宋体" w:eastAsia="宋体" w:cs="宋体"/>
          <w:lang w:val="en-US" w:eastAsia="zh-CN"/>
        </w:rPr>
      </w:pPr>
      <w:r>
        <w:rPr>
          <w:rFonts w:hint="eastAsia" w:ascii="宋体" w:hAnsi="宋体" w:eastAsia="宋体" w:cs="宋体"/>
          <w:lang w:val="en-US" w:eastAsia="zh-CN"/>
        </w:rPr>
        <w:t>　　第三十三条 项目实施机构或政府指定的其他机构应组建项目移交工作组，根据项目合同约定与社会资本或项目公司确认移交情形和补偿方式，制定资产评估和性能测试方案。</w:t>
      </w:r>
    </w:p>
    <w:p>
      <w:pPr>
        <w:rPr>
          <w:rFonts w:hint="eastAsia" w:ascii="宋体" w:hAnsi="宋体" w:eastAsia="宋体" w:cs="宋体"/>
          <w:lang w:val="en-US" w:eastAsia="zh-CN"/>
        </w:rPr>
      </w:pPr>
      <w:r>
        <w:rPr>
          <w:rFonts w:hint="eastAsia" w:ascii="宋体" w:hAnsi="宋体" w:eastAsia="宋体" w:cs="宋体"/>
          <w:lang w:val="en-US" w:eastAsia="zh-CN"/>
        </w:rPr>
        <w:t>　　项目移交工作组应委托具有相关资质的资产评估机构，按照项目合同约定的评估方式，对移交资产进行资产评估，作为确定补偿金额的依据。</w:t>
      </w:r>
    </w:p>
    <w:p>
      <w:pPr>
        <w:rPr>
          <w:rFonts w:hint="eastAsia" w:ascii="宋体" w:hAnsi="宋体" w:eastAsia="宋体" w:cs="宋体"/>
          <w:lang w:val="en-US" w:eastAsia="zh-CN"/>
        </w:rPr>
      </w:pPr>
      <w:r>
        <w:rPr>
          <w:rFonts w:hint="eastAsia" w:ascii="宋体" w:hAnsi="宋体" w:eastAsia="宋体" w:cs="宋体"/>
          <w:lang w:val="en-US" w:eastAsia="zh-CN"/>
        </w:rPr>
        <w:t>　　项目移交工作组应严格按照性能测试方案和移交标准对移交资产进行性能测试。性能测试结果不达标的，移交工作组应要求社会资本或项目公司进行恢复性修理、更新重置或提取移交维修保函。</w:t>
      </w:r>
    </w:p>
    <w:p>
      <w:pPr>
        <w:rPr>
          <w:rFonts w:hint="eastAsia" w:ascii="宋体" w:hAnsi="宋体" w:eastAsia="宋体" w:cs="宋体"/>
          <w:lang w:val="en-US" w:eastAsia="zh-CN"/>
        </w:rPr>
      </w:pPr>
      <w:r>
        <w:rPr>
          <w:rFonts w:hint="eastAsia" w:ascii="宋体" w:hAnsi="宋体" w:eastAsia="宋体" w:cs="宋体"/>
          <w:lang w:val="en-US" w:eastAsia="zh-CN"/>
        </w:rPr>
        <w:t>　　第三十四条 社会资本或项目公司应将满足性能测试要求的项目资产、知识产权和技术法律文件，连同资产清单移交项目实施机构或政府指定的其他机构，办妥法律过户和管理权移交手续。社会资本或项目公司应配合做好项目运营平稳过渡相关工作。</w:t>
      </w:r>
    </w:p>
    <w:p>
      <w:pPr>
        <w:ind w:firstLine="420"/>
        <w:rPr>
          <w:rFonts w:hint="eastAsia" w:ascii="宋体" w:hAnsi="宋体" w:eastAsia="宋体" w:cs="宋体"/>
          <w:lang w:val="en-US" w:eastAsia="zh-CN"/>
        </w:rPr>
      </w:pPr>
      <w:r>
        <w:rPr>
          <w:rFonts w:hint="eastAsia" w:ascii="宋体" w:hAnsi="宋体" w:eastAsia="宋体" w:cs="宋体"/>
          <w:lang w:val="en-US" w:eastAsia="zh-CN"/>
        </w:rPr>
        <w:t>第三十五条 项目移交完成后，财政部门（政府和社会资本合作中心）应组织有关部门对项目产出、成本效益、监管成效、可持续性、政府和社会资本合作模式应用等进行绩效评价，并按相关规定公开评价结果。评价结果作为政府开展政府和社会资本合作管理工作决策参考依据。</w:t>
      </w:r>
    </w:p>
    <w:p>
      <w:pPr>
        <w:ind w:firstLine="420"/>
        <w:rPr>
          <w:rFonts w:hint="eastAsia" w:ascii="宋体" w:hAnsi="宋体" w:eastAsia="宋体" w:cs="宋体"/>
          <w:lang w:val="en-US" w:eastAsia="zh-CN"/>
        </w:rPr>
      </w:pPr>
    </w:p>
    <w:p>
      <w:pPr>
        <w:rPr>
          <w:rFonts w:hint="eastAsia" w:ascii="宋体" w:hAnsi="宋体" w:eastAsia="宋体" w:cs="宋体"/>
          <w:b/>
          <w:bCs/>
          <w:lang w:val="en-US" w:eastAsia="zh-CN"/>
        </w:rPr>
      </w:pPr>
      <w:r>
        <w:rPr>
          <w:rFonts w:hint="eastAsia" w:ascii="宋体" w:hAnsi="宋体" w:eastAsia="宋体" w:cs="宋体"/>
          <w:b/>
          <w:bCs/>
          <w:lang w:val="en-US" w:eastAsia="zh-CN"/>
        </w:rPr>
        <w:t>　　第七章 附则</w:t>
      </w:r>
    </w:p>
    <w:p>
      <w:pPr>
        <w:rPr>
          <w:rFonts w:hint="eastAsia" w:ascii="宋体" w:hAnsi="宋体" w:eastAsia="宋体" w:cs="宋体"/>
          <w:lang w:val="en-US" w:eastAsia="zh-CN"/>
        </w:rPr>
      </w:pPr>
      <w:r>
        <w:rPr>
          <w:rFonts w:hint="eastAsia" w:ascii="宋体" w:hAnsi="宋体" w:eastAsia="宋体" w:cs="宋体"/>
          <w:lang w:val="en-US" w:eastAsia="zh-CN"/>
        </w:rPr>
        <w:t>　　第三十六条 本操作指南自印发之日起施行，有效期3年。</w:t>
      </w:r>
    </w:p>
    <w:p>
      <w:pPr>
        <w:rPr>
          <w:rFonts w:hint="eastAsia" w:ascii="宋体" w:hAnsi="宋体" w:eastAsia="宋体" w:cs="宋体"/>
          <w:lang w:val="en-US" w:eastAsia="zh-CN"/>
        </w:rPr>
      </w:pPr>
      <w:r>
        <w:rPr>
          <w:rFonts w:hint="eastAsia" w:ascii="宋体" w:hAnsi="宋体" w:eastAsia="宋体" w:cs="宋体"/>
          <w:lang w:val="en-US" w:eastAsia="zh-CN"/>
        </w:rPr>
        <w:t>　　第三十七条 本操作指南由财政部负责解释。附：1政府和社会资本合作项目操作流程图</w:t>
      </w:r>
    </w:p>
    <w:p>
      <w:pPr>
        <w:rPr>
          <w:rFonts w:hint="eastAsia" w:ascii="宋体" w:hAnsi="宋体" w:eastAsia="宋体" w:cs="宋体"/>
          <w:lang w:val="en-US" w:eastAsia="zh-CN"/>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lang w:val="en-US" w:eastAsia="zh-CN"/>
        </w:rPr>
        <w:t>   </w:t>
      </w:r>
    </w:p>
    <w:p>
      <w:pPr>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2、名词解释</w:t>
      </w:r>
    </w:p>
    <w:p>
      <w:pPr>
        <w:rPr>
          <w:rFonts w:hint="eastAsia" w:ascii="宋体" w:hAnsi="宋体" w:eastAsia="宋体" w:cs="宋体"/>
          <w:lang w:val="en-US" w:eastAsia="zh-CN"/>
        </w:rPr>
      </w:pPr>
      <w:r>
        <w:rPr>
          <w:rFonts w:hint="eastAsia" w:ascii="宋体" w:hAnsi="宋体" w:eastAsia="宋体" w:cs="宋体"/>
          <w:lang w:val="en-US" w:eastAsia="zh-CN"/>
        </w:rPr>
        <w:t>附1</w:t>
      </w:r>
    </w:p>
    <w:p>
      <w:pPr>
        <w:rPr>
          <w:rFonts w:hint="eastAsia" w:ascii="宋体" w:hAnsi="宋体" w:eastAsia="宋体" w:cs="宋体"/>
          <w:lang w:val="en-US" w:eastAsia="zh-CN"/>
        </w:rPr>
      </w:pPr>
      <w:r>
        <w:rPr>
          <w:rFonts w:hint="eastAsia" w:ascii="宋体" w:hAnsi="宋体" w:eastAsia="宋体" w:cs="宋体"/>
          <w:lang w:val="en-US" w:eastAsia="zh-CN"/>
        </w:rPr>
        <w:t>　　政府和社会资本合作项目操作流程图 </w:t>
      </w:r>
    </w:p>
    <w:p>
      <w:pPr>
        <w:rPr>
          <w:rFonts w:hint="eastAsia" w:ascii="宋体" w:hAnsi="宋体" w:eastAsia="宋体" w:cs="宋体"/>
          <w:lang w:val="en-US" w:eastAsia="zh-CN"/>
        </w:rPr>
      </w:pPr>
      <w:r>
        <w:rPr>
          <w:rFonts w:hint="eastAsia" w:ascii="宋体" w:hAnsi="宋体" w:eastAsia="宋体" w:cs="宋体"/>
          <w:lang w:val="en-US" w:eastAsia="zh-CN"/>
        </w:rPr>
        <w:t>附2</w:t>
      </w:r>
    </w:p>
    <w:p>
      <w:pPr>
        <w:rPr>
          <w:rFonts w:hint="eastAsia" w:ascii="宋体" w:hAnsi="宋体" w:eastAsia="宋体" w:cs="宋体"/>
          <w:lang w:val="en-US" w:eastAsia="zh-CN"/>
        </w:rPr>
      </w:pPr>
      <w:r>
        <w:rPr>
          <w:rFonts w:hint="eastAsia" w:ascii="宋体" w:hAnsi="宋体" w:eastAsia="宋体" w:cs="宋体"/>
          <w:lang w:val="en-US" w:eastAsia="zh-CN"/>
        </w:rPr>
        <w:t>　　名词解释</w:t>
      </w:r>
    </w:p>
    <w:p>
      <w:pPr>
        <w:keepNext w:val="0"/>
        <w:keepLines w:val="0"/>
        <w:pageBreakBefore w:val="0"/>
        <w:widowControl w:val="0"/>
        <w:kinsoku/>
        <w:wordWrap/>
        <w:overflowPunct/>
        <w:topLinePunct w:val="0"/>
        <w:autoSpaceDE/>
        <w:autoSpaceDN/>
        <w:bidi w:val="0"/>
        <w:adjustRightInd/>
        <w:snapToGrid/>
        <w:spacing w:before="120" w:after="120" w:line="240" w:lineRule="auto"/>
        <w:ind w:left="420" w:leftChars="20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1.全生命周期（Whole Life Cycle），是指项目从设计、融资、建造、运营、维护至终止移交的完整周期。</w:t>
      </w:r>
    </w:p>
    <w:p>
      <w:pPr>
        <w:keepNext w:val="0"/>
        <w:keepLines w:val="0"/>
        <w:pageBreakBefore w:val="0"/>
        <w:widowControl w:val="0"/>
        <w:kinsoku/>
        <w:wordWrap/>
        <w:overflowPunct/>
        <w:topLinePunct w:val="0"/>
        <w:autoSpaceDE/>
        <w:autoSpaceDN/>
        <w:bidi w:val="0"/>
        <w:adjustRightInd/>
        <w:snapToGrid/>
        <w:spacing w:before="120" w:after="120" w:line="240" w:lineRule="auto"/>
        <w:ind w:left="420" w:leftChars="20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2.产出说明（Output Specification），是指项目建成后项目资产所应达到的经济、技术标准，以及公共产品和服务的交付范围、标准和绩效水平等。</w:t>
      </w:r>
    </w:p>
    <w:p>
      <w:pPr>
        <w:keepNext w:val="0"/>
        <w:keepLines w:val="0"/>
        <w:pageBreakBefore w:val="0"/>
        <w:widowControl w:val="0"/>
        <w:kinsoku/>
        <w:wordWrap/>
        <w:overflowPunct/>
        <w:topLinePunct w:val="0"/>
        <w:autoSpaceDE/>
        <w:autoSpaceDN/>
        <w:bidi w:val="0"/>
        <w:adjustRightInd/>
        <w:snapToGrid/>
        <w:spacing w:before="120" w:after="120" w:line="240" w:lineRule="auto"/>
        <w:ind w:left="420" w:leftChars="20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3.物有所值（Value for Money, VFM），是指一个组织运用其可利用资源所能获得的长期最大利益。VFM评价是国际上普遍采用的一种评价传统上由政府提供的公共产品和服务是否可运用政府和社会资本合作模式的评估体系，旨在实现公共资源配置利用效率最优化。</w:t>
      </w:r>
    </w:p>
    <w:p>
      <w:pPr>
        <w:keepNext w:val="0"/>
        <w:keepLines w:val="0"/>
        <w:pageBreakBefore w:val="0"/>
        <w:widowControl w:val="0"/>
        <w:kinsoku/>
        <w:wordWrap/>
        <w:overflowPunct/>
        <w:topLinePunct w:val="0"/>
        <w:autoSpaceDE/>
        <w:autoSpaceDN/>
        <w:bidi w:val="0"/>
        <w:adjustRightInd/>
        <w:snapToGrid/>
        <w:spacing w:before="120" w:after="120" w:line="240" w:lineRule="auto"/>
        <w:ind w:left="420" w:leftChars="20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4.公共部门比较值（Public Sector Comparator, PSC），是指在全生命周期内，政府采用传统采购模式提供公共产品和服务的全部成本的现值，主要包括建设运营净成本、可转移风险承担成本、自留风险承担成本和竞争性中立调整成本等。</w:t>
      </w:r>
    </w:p>
    <w:p>
      <w:pPr>
        <w:keepNext w:val="0"/>
        <w:keepLines w:val="0"/>
        <w:pageBreakBefore w:val="0"/>
        <w:widowControl w:val="0"/>
        <w:kinsoku/>
        <w:wordWrap/>
        <w:overflowPunct/>
        <w:topLinePunct w:val="0"/>
        <w:autoSpaceDE/>
        <w:autoSpaceDN/>
        <w:bidi w:val="0"/>
        <w:adjustRightInd/>
        <w:snapToGrid/>
        <w:spacing w:before="120" w:after="120" w:line="240" w:lineRule="auto"/>
        <w:ind w:left="420" w:leftChars="20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5.使用者付费（User Charge），是指由最终消费用户直接付费购买公共产品和服务。</w:t>
      </w:r>
    </w:p>
    <w:p>
      <w:pPr>
        <w:keepNext w:val="0"/>
        <w:keepLines w:val="0"/>
        <w:pageBreakBefore w:val="0"/>
        <w:widowControl w:val="0"/>
        <w:kinsoku/>
        <w:wordWrap/>
        <w:overflowPunct/>
        <w:topLinePunct w:val="0"/>
        <w:autoSpaceDE/>
        <w:autoSpaceDN/>
        <w:bidi w:val="0"/>
        <w:adjustRightInd/>
        <w:snapToGrid/>
        <w:spacing w:before="120" w:after="120" w:line="240" w:lineRule="auto"/>
        <w:ind w:left="420" w:leftChars="20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6.可行性缺口补助（Viability Gap Funding），是指使用者付费不足以满足社会资本或项目公司成本回收和合理回报，而由政府以财政补贴、股本投入、优惠贷款和其他优惠政策的形式，给予社会资本或项目公司的经济补助。</w:t>
      </w:r>
    </w:p>
    <w:p>
      <w:pPr>
        <w:keepNext w:val="0"/>
        <w:keepLines w:val="0"/>
        <w:pageBreakBefore w:val="0"/>
        <w:widowControl w:val="0"/>
        <w:kinsoku/>
        <w:wordWrap/>
        <w:overflowPunct/>
        <w:topLinePunct w:val="0"/>
        <w:autoSpaceDE/>
        <w:autoSpaceDN/>
        <w:bidi w:val="0"/>
        <w:adjustRightInd/>
        <w:snapToGrid/>
        <w:spacing w:before="120" w:after="120" w:line="240" w:lineRule="auto"/>
        <w:ind w:left="420" w:leftChars="20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7.政府付费（Government Payment），是指政府直接付费购买公共产品和服务，主要包括可用性付费（Availability Payment）、使用量付费（Usage Payment）和绩效付费（Performance Payment）。政府付费的依据主要是设施可用性、产品和服务使用量和质量等要素。</w:t>
      </w:r>
    </w:p>
    <w:p>
      <w:pPr>
        <w:keepNext w:val="0"/>
        <w:keepLines w:val="0"/>
        <w:pageBreakBefore w:val="0"/>
        <w:widowControl w:val="0"/>
        <w:kinsoku/>
        <w:wordWrap/>
        <w:overflowPunct/>
        <w:topLinePunct w:val="0"/>
        <w:autoSpaceDE/>
        <w:autoSpaceDN/>
        <w:bidi w:val="0"/>
        <w:adjustRightInd/>
        <w:snapToGrid/>
        <w:spacing w:before="120" w:after="120" w:line="240" w:lineRule="auto"/>
        <w:ind w:left="420" w:leftChars="20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8.委托运营（Operations &amp; Maintenance，O&amp;M）,是指政府将存量公共资产的运营维护职责委托给社会资本或项目公司，社会资本或项目公司不负责用户服务的政府和社会资本合作项目运作方式。政府保留资产所有权，只向社会资本或项目公司支付委托运营费。合同期限一般不超过8年。</w:t>
      </w:r>
    </w:p>
    <w:p>
      <w:pPr>
        <w:keepNext w:val="0"/>
        <w:keepLines w:val="0"/>
        <w:pageBreakBefore w:val="0"/>
        <w:widowControl w:val="0"/>
        <w:kinsoku/>
        <w:wordWrap/>
        <w:overflowPunct/>
        <w:topLinePunct w:val="0"/>
        <w:autoSpaceDE/>
        <w:autoSpaceDN/>
        <w:bidi w:val="0"/>
        <w:adjustRightInd/>
        <w:snapToGrid/>
        <w:spacing w:before="120" w:after="120" w:line="240" w:lineRule="auto"/>
        <w:ind w:left="420" w:leftChars="20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9.管理合同（Management Contract，MC），是指政府将存量公共资产的运营、维护及用户服务职责授权给社会资本或项目公司的项目运作方式。政府保留资产所有权，只向社会资本或项目公司支付管理费。管理合同通常作为转让-运营-移交的过渡方式，合同期限一般不超过3年。</w:t>
      </w:r>
    </w:p>
    <w:p>
      <w:pPr>
        <w:keepNext w:val="0"/>
        <w:keepLines w:val="0"/>
        <w:pageBreakBefore w:val="0"/>
        <w:widowControl w:val="0"/>
        <w:kinsoku/>
        <w:wordWrap/>
        <w:overflowPunct/>
        <w:topLinePunct w:val="0"/>
        <w:autoSpaceDE/>
        <w:autoSpaceDN/>
        <w:bidi w:val="0"/>
        <w:adjustRightInd/>
        <w:snapToGrid/>
        <w:spacing w:before="120" w:after="120" w:line="240" w:lineRule="auto"/>
        <w:ind w:left="420" w:leftChars="20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10.建设-运营-移交（Build-Operate-Transfer，BOT）,是指由社会资本或项目公司承担新建项目设计、融资、建造、运营、维护和用户服务职责，合同期满后项目资产及相关权利等移交给政府的项目运作方式。合同期限一般为20-30年。</w:t>
      </w:r>
    </w:p>
    <w:p>
      <w:pPr>
        <w:keepNext w:val="0"/>
        <w:keepLines w:val="0"/>
        <w:pageBreakBefore w:val="0"/>
        <w:widowControl w:val="0"/>
        <w:kinsoku/>
        <w:wordWrap/>
        <w:overflowPunct/>
        <w:topLinePunct w:val="0"/>
        <w:autoSpaceDE/>
        <w:autoSpaceDN/>
        <w:bidi w:val="0"/>
        <w:adjustRightInd/>
        <w:snapToGrid/>
        <w:spacing w:before="120" w:after="120" w:line="240" w:lineRule="auto"/>
        <w:ind w:left="420" w:leftChars="20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11. 建设-拥有-运营（Build-Own-Operate，BOO），由BOT方式演变而来，二者区别主要是BOO方式下社会资本或项目公司拥有项目所有权，但必须在合同中注明保证公益性的约束条款，一般不涉及项目期满移交。</w:t>
      </w:r>
    </w:p>
    <w:p>
      <w:pPr>
        <w:keepNext w:val="0"/>
        <w:keepLines w:val="0"/>
        <w:pageBreakBefore w:val="0"/>
        <w:widowControl w:val="0"/>
        <w:kinsoku/>
        <w:wordWrap/>
        <w:overflowPunct/>
        <w:topLinePunct w:val="0"/>
        <w:autoSpaceDE/>
        <w:autoSpaceDN/>
        <w:bidi w:val="0"/>
        <w:adjustRightInd/>
        <w:snapToGrid/>
        <w:spacing w:before="120" w:after="120" w:line="240" w:lineRule="auto"/>
        <w:ind w:left="420" w:leftChars="20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12.转让-运营-移交（Transfer-Operate-Transfer，TOT），是指政府将存量资产所有权有偿转让给社会资本或项目公司，并由其负责运营、维护和用户服务，合同期满后资产及其所有权等移交给政府的项目运作方式。合同期限一般为20-30年。</w:t>
      </w:r>
    </w:p>
    <w:p>
      <w:pPr>
        <w:keepNext w:val="0"/>
        <w:keepLines w:val="0"/>
        <w:pageBreakBefore w:val="0"/>
        <w:widowControl w:val="0"/>
        <w:kinsoku/>
        <w:wordWrap/>
        <w:overflowPunct/>
        <w:topLinePunct w:val="0"/>
        <w:autoSpaceDE/>
        <w:autoSpaceDN/>
        <w:bidi w:val="0"/>
        <w:adjustRightInd/>
        <w:snapToGrid/>
        <w:spacing w:before="120" w:after="120" w:line="240" w:lineRule="auto"/>
        <w:ind w:left="420" w:leftChars="200" w:right="0" w:rightChars="0" w:firstLine="0" w:firstLineChars="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13.改建-运营-移交（Rehabilitate-Operate-Transfer，ROT），是指政府在TOT模式的基础上，增加改扩建内容的项目运作方式。合同期限一般为20-30年。</w:t>
      </w:r>
    </w:p>
    <w:p>
      <w:pPr>
        <w:keepNext w:val="0"/>
        <w:keepLines w:val="0"/>
        <w:pageBreakBefore w:val="0"/>
        <w:widowControl w:val="0"/>
        <w:kinsoku/>
        <w:wordWrap/>
        <w:overflowPunct/>
        <w:topLinePunct w:val="0"/>
        <w:autoSpaceDE/>
        <w:autoSpaceDN/>
        <w:bidi w:val="0"/>
        <w:adjustRightInd/>
        <w:snapToGrid/>
        <w:spacing w:before="120" w:after="120" w:line="240" w:lineRule="auto"/>
        <w:ind w:left="420" w:leftChars="200" w:right="0" w:rightChars="0" w:firstLine="0" w:firstLineChars="0"/>
        <w:jc w:val="both"/>
        <w:textAlignment w:val="auto"/>
        <w:outlineLvl w:val="9"/>
        <w:rPr>
          <w:rFonts w:hint="eastAsia" w:ascii="宋体" w:hAnsi="宋体" w:eastAsia="宋体" w:cs="宋体"/>
          <w:lang w:val="en-US" w:eastAsia="zh-CN"/>
        </w:rPr>
      </w:pPr>
    </w:p>
    <w:p>
      <w:pPr>
        <w:keepNext w:val="0"/>
        <w:keepLines w:val="0"/>
        <w:pageBreakBefore w:val="0"/>
        <w:widowControl w:val="0"/>
        <w:kinsoku/>
        <w:wordWrap/>
        <w:overflowPunct/>
        <w:topLinePunct w:val="0"/>
        <w:autoSpaceDE/>
        <w:autoSpaceDN/>
        <w:bidi w:val="0"/>
        <w:adjustRightInd/>
        <w:snapToGrid/>
        <w:spacing w:before="120" w:after="120" w:line="240" w:lineRule="auto"/>
        <w:ind w:left="420" w:leftChars="200" w:right="0" w:rightChars="0" w:firstLine="0" w:firstLineChars="0"/>
        <w:jc w:val="both"/>
        <w:textAlignment w:val="auto"/>
        <w:outlineLvl w:val="9"/>
        <w:rPr>
          <w:rFonts w:hint="eastAsia" w:ascii="宋体" w:hAnsi="宋体" w:eastAsia="宋体" w:cs="宋体"/>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6273D2F"/>
    <w:rsid w:val="0826101C"/>
    <w:rsid w:val="083B2E68"/>
    <w:rsid w:val="08673D2A"/>
    <w:rsid w:val="17EE545F"/>
    <w:rsid w:val="198860F9"/>
    <w:rsid w:val="1B0A3499"/>
    <w:rsid w:val="2182268D"/>
    <w:rsid w:val="251865EA"/>
    <w:rsid w:val="275012D1"/>
    <w:rsid w:val="36EA50A7"/>
    <w:rsid w:val="39E113F5"/>
    <w:rsid w:val="3B2F6EF7"/>
    <w:rsid w:val="3CDF67F3"/>
    <w:rsid w:val="3D9A530C"/>
    <w:rsid w:val="4B4F1F4F"/>
    <w:rsid w:val="4D765109"/>
    <w:rsid w:val="572040A1"/>
    <w:rsid w:val="5FFD6D65"/>
    <w:rsid w:val="6080698E"/>
    <w:rsid w:val="64013AF7"/>
    <w:rsid w:val="65A31D7F"/>
    <w:rsid w:val="6C7675A4"/>
    <w:rsid w:val="70283050"/>
    <w:rsid w:val="71A242AF"/>
    <w:rsid w:val="72F907FB"/>
    <w:rsid w:val="78DE1F91"/>
    <w:rsid w:val="79EA7C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120" w:after="120"/>
      <w:ind w:leftChars="200"/>
      <w:jc w:val="both"/>
    </w:pPr>
    <w:rPr>
      <w:rFonts w:asciiTheme="minorAscii" w:hAnsiTheme="minorAsci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style>
  <w:style w:type="character" w:styleId="7">
    <w:name w:val="FollowedHyperlink"/>
    <w:basedOn w:val="5"/>
    <w:qFormat/>
    <w:uiPriority w:val="0"/>
    <w:rPr>
      <w:color w:val="607FA6"/>
      <w:u w:val="none"/>
    </w:rPr>
  </w:style>
  <w:style w:type="character" w:styleId="8">
    <w:name w:val="Emphasis"/>
    <w:basedOn w:val="5"/>
    <w:qFormat/>
    <w:uiPriority w:val="0"/>
  </w:style>
  <w:style w:type="character" w:styleId="9">
    <w:name w:val="HTML Definition"/>
    <w:basedOn w:val="5"/>
    <w:uiPriority w:val="0"/>
  </w:style>
  <w:style w:type="character" w:styleId="10">
    <w:name w:val="HTML Variable"/>
    <w:basedOn w:val="5"/>
    <w:uiPriority w:val="0"/>
  </w:style>
  <w:style w:type="character" w:styleId="11">
    <w:name w:val="Hyperlink"/>
    <w:basedOn w:val="5"/>
    <w:qFormat/>
    <w:uiPriority w:val="0"/>
    <w:rPr>
      <w:color w:val="607FA6"/>
      <w:u w:val="none"/>
    </w:rPr>
  </w:style>
  <w:style w:type="character" w:styleId="12">
    <w:name w:val="HTML Code"/>
    <w:basedOn w:val="5"/>
    <w:qFormat/>
    <w:uiPriority w:val="0"/>
    <w:rPr>
      <w:rFonts w:ascii="Menlo" w:hAnsi="Menlo" w:eastAsia="Menlo" w:cs="Menlo"/>
      <w:color w:val="C7254E"/>
      <w:sz w:val="21"/>
      <w:szCs w:val="21"/>
      <w:bdr w:val="none" w:color="auto" w:sz="0" w:space="0"/>
      <w:shd w:val="clear" w:fill="F9F2F4"/>
    </w:rPr>
  </w:style>
  <w:style w:type="character" w:styleId="13">
    <w:name w:val="HTML Cite"/>
    <w:basedOn w:val="5"/>
    <w:uiPriority w:val="0"/>
  </w:style>
  <w:style w:type="character" w:styleId="14">
    <w:name w:val="HTML Keyboard"/>
    <w:basedOn w:val="5"/>
    <w:uiPriority w:val="0"/>
    <w:rPr>
      <w:rFonts w:hint="default" w:ascii="Menlo" w:hAnsi="Menlo" w:eastAsia="Menlo" w:cs="Menlo"/>
      <w:color w:val="FFFFFF"/>
      <w:sz w:val="21"/>
      <w:szCs w:val="21"/>
      <w:bdr w:val="none" w:color="auto" w:sz="0" w:space="0"/>
      <w:shd w:val="clear" w:fill="333333"/>
    </w:rPr>
  </w:style>
  <w:style w:type="character" w:styleId="15">
    <w:name w:val="HTML Sample"/>
    <w:basedOn w:val="5"/>
    <w:uiPriority w:val="0"/>
    <w:rPr>
      <w:rFonts w:hint="default" w:ascii="Menlo" w:hAnsi="Menlo" w:eastAsia="Menlo" w:cs="Menlo"/>
      <w:sz w:val="21"/>
      <w:szCs w:val="21"/>
    </w:rPr>
  </w:style>
  <w:style w:type="paragraph" w:customStyle="1" w:styleId="17">
    <w:name w:val="样式1"/>
    <w:basedOn w:val="1"/>
    <w:qFormat/>
    <w:uiPriority w:val="0"/>
    <w:pPr>
      <w:spacing w:before="10"/>
      <w:ind w:firstLine="420" w:firstLineChars="200"/>
    </w:pPr>
    <w:rPr>
      <w:rFonts w:asciiTheme="minorAscii" w:hAnsiTheme="minorAscii"/>
    </w:rPr>
  </w:style>
  <w:style w:type="character" w:customStyle="1" w:styleId="18">
    <w:name w:val="css_blue1"/>
    <w:basedOn w:val="5"/>
    <w:qFormat/>
    <w:uiPriority w:val="0"/>
    <w:rPr>
      <w:color w:val="4A81A8"/>
      <w:sz w:val="21"/>
      <w:szCs w:val="21"/>
    </w:rPr>
  </w:style>
  <w:style w:type="character" w:customStyle="1" w:styleId="19">
    <w:name w:val="rich_media_meta_nickname"/>
    <w:basedOn w:val="5"/>
    <w:qFormat/>
    <w:uiPriority w:val="0"/>
    <w:rPr>
      <w:vanish/>
    </w:rPr>
  </w:style>
  <w:style w:type="character" w:customStyle="1" w:styleId="20">
    <w:name w:val="rich_media_meta_nickname1"/>
    <w:basedOn w:val="5"/>
    <w:qFormat/>
    <w:uiPriority w:val="0"/>
  </w:style>
  <w:style w:type="character" w:customStyle="1" w:styleId="21">
    <w:name w:val="tz_input"/>
    <w:basedOn w:val="5"/>
    <w:qFormat/>
    <w:uiPriority w:val="0"/>
    <w:rPr>
      <w:color w:val="A01211"/>
      <w:sz w:val="24"/>
      <w:szCs w:val="24"/>
    </w:rPr>
  </w:style>
  <w:style w:type="character" w:customStyle="1" w:styleId="22">
    <w:name w:val="bg01"/>
    <w:basedOn w:val="5"/>
    <w:qFormat/>
    <w:uiPriority w:val="0"/>
  </w:style>
  <w:style w:type="character" w:customStyle="1" w:styleId="23">
    <w:name w:val="m01"/>
    <w:basedOn w:val="5"/>
    <w:qFormat/>
    <w:uiPriority w:val="0"/>
  </w:style>
  <w:style w:type="character" w:customStyle="1" w:styleId="24">
    <w:name w:val="m011"/>
    <w:basedOn w:val="5"/>
    <w:qFormat/>
    <w:uiPriority w:val="0"/>
  </w:style>
  <w:style w:type="character" w:customStyle="1" w:styleId="25">
    <w:name w:val="font"/>
    <w:basedOn w:val="5"/>
    <w:qFormat/>
    <w:uiPriority w:val="0"/>
  </w:style>
  <w:style w:type="character" w:customStyle="1" w:styleId="26">
    <w:name w:val="font1"/>
    <w:basedOn w:val="5"/>
    <w:qFormat/>
    <w:uiPriority w:val="0"/>
  </w:style>
  <w:style w:type="character" w:customStyle="1" w:styleId="27">
    <w:name w:val="bg02"/>
    <w:basedOn w:val="5"/>
    <w:qFormat/>
    <w:uiPriority w:val="0"/>
  </w:style>
  <w:style w:type="character" w:customStyle="1" w:styleId="28">
    <w:name w:val="tabg"/>
    <w:basedOn w:val="5"/>
    <w:qFormat/>
    <w:uiPriority w:val="0"/>
    <w:rPr>
      <w:color w:val="FFFFFF"/>
      <w:sz w:val="27"/>
      <w:szCs w:val="27"/>
    </w:rPr>
  </w:style>
  <w:style w:type="character" w:customStyle="1" w:styleId="29">
    <w:name w:val="more4"/>
    <w:basedOn w:val="5"/>
    <w:qFormat/>
    <w:uiPriority w:val="0"/>
    <w:rPr>
      <w:color w:val="666666"/>
      <w:sz w:val="18"/>
      <w:szCs w:val="18"/>
    </w:rPr>
  </w:style>
  <w:style w:type="character" w:customStyle="1" w:styleId="30">
    <w:name w:val="gwds_nopic"/>
    <w:basedOn w:val="5"/>
    <w:qFormat/>
    <w:uiPriority w:val="0"/>
  </w:style>
  <w:style w:type="character" w:customStyle="1" w:styleId="31">
    <w:name w:val="gwds_nopic1"/>
    <w:basedOn w:val="5"/>
    <w:qFormat/>
    <w:uiPriority w:val="0"/>
  </w:style>
  <w:style w:type="character" w:customStyle="1" w:styleId="32">
    <w:name w:val="gwds_nopic2"/>
    <w:basedOn w:val="5"/>
    <w:qFormat/>
    <w:uiPriority w:val="0"/>
  </w:style>
  <w:style w:type="character" w:customStyle="1" w:styleId="33">
    <w:name w:val="bds_more4"/>
    <w:basedOn w:val="5"/>
    <w:qFormat/>
    <w:uiPriority w:val="0"/>
  </w:style>
  <w:style w:type="character" w:customStyle="1" w:styleId="34">
    <w:name w:val="bds_nopic"/>
    <w:basedOn w:val="5"/>
    <w:uiPriority w:val="0"/>
  </w:style>
  <w:style w:type="character" w:customStyle="1" w:styleId="35">
    <w:name w:val="bds_nopic1"/>
    <w:basedOn w:val="5"/>
    <w:qFormat/>
    <w:uiPriority w:val="0"/>
  </w:style>
  <w:style w:type="character" w:customStyle="1" w:styleId="36">
    <w:name w:val="bds_nopic2"/>
    <w:basedOn w:val="5"/>
    <w:qFormat/>
    <w:uiPriority w:val="0"/>
  </w:style>
  <w:style w:type="character" w:customStyle="1" w:styleId="37">
    <w:name w:val="bds_more3"/>
    <w:basedOn w:val="5"/>
    <w:qFormat/>
    <w:uiPriority w:val="0"/>
    <w:rPr>
      <w:rFonts w:hint="eastAsia" w:ascii="宋体" w:hAnsi="宋体" w:eastAsia="宋体" w:cs="宋体"/>
    </w:rPr>
  </w:style>
  <w:style w:type="character" w:customStyle="1" w:styleId="38">
    <w:name w:val="bds_more5"/>
    <w:basedOn w:val="5"/>
    <w:uiPriority w:val="0"/>
  </w:style>
  <w:style w:type="character" w:customStyle="1" w:styleId="39">
    <w:name w:val="on"/>
    <w:basedOn w:val="5"/>
    <w:uiPriority w:val="0"/>
    <w:rPr>
      <w:color w:val="FFFFFF"/>
    </w:rPr>
  </w:style>
  <w:style w:type="character" w:customStyle="1" w:styleId="40">
    <w:name w:val="cur"/>
    <w:basedOn w:val="5"/>
    <w:uiPriority w:val="0"/>
    <w:rPr>
      <w:b/>
    </w:rPr>
  </w:style>
  <w:style w:type="character" w:customStyle="1" w:styleId="41">
    <w:name w:val="cur1"/>
    <w:basedOn w:val="5"/>
    <w:qFormat/>
    <w:uiPriority w:val="0"/>
    <w:rPr>
      <w:b/>
    </w:rPr>
  </w:style>
  <w:style w:type="character" w:customStyle="1" w:styleId="42">
    <w:name w:val="cur2"/>
    <w:basedOn w:val="5"/>
    <w:uiPriority w:val="0"/>
    <w:rPr>
      <w:shd w:val="clear" w:fill="FF0000"/>
    </w:rPr>
  </w:style>
  <w:style w:type="character" w:customStyle="1" w:styleId="43">
    <w:name w:val="normal"/>
    <w:basedOn w:val="5"/>
    <w:uiPriority w:val="0"/>
    <w:rPr>
      <w:color w:val="FFFFFF"/>
    </w:rPr>
  </w:style>
  <w:style w:type="character" w:customStyle="1" w:styleId="44">
    <w:name w:val="normal1"/>
    <w:basedOn w:val="5"/>
    <w:uiPriority w:val="0"/>
    <w:rPr>
      <w:color w:val="FFFFFF"/>
    </w:rPr>
  </w:style>
  <w:style w:type="character" w:customStyle="1" w:styleId="45">
    <w:name w:val="normal2"/>
    <w:basedOn w:val="5"/>
    <w:uiPriority w:val="0"/>
    <w:rPr>
      <w:color w:val="000000"/>
    </w:rPr>
  </w:style>
  <w:style w:type="character" w:customStyle="1" w:styleId="46">
    <w:name w:val="more"/>
    <w:basedOn w:val="5"/>
    <w:uiPriority w:val="0"/>
    <w:rPr>
      <w:color w:val="666666"/>
      <w:sz w:val="18"/>
      <w:szCs w:val="18"/>
    </w:rPr>
  </w:style>
  <w:style w:type="character" w:customStyle="1" w:styleId="47">
    <w:name w:val="tn-zhishi"/>
    <w:basedOn w:val="5"/>
    <w:uiPriority w:val="0"/>
    <w:rPr>
      <w:shd w:val="clear" w:fill="8B6124"/>
    </w:rPr>
  </w:style>
  <w:style w:type="character" w:customStyle="1" w:styleId="48">
    <w:name w:val="hover57"/>
    <w:basedOn w:val="5"/>
    <w:uiPriority w:val="0"/>
    <w:rPr>
      <w:shd w:val="clear" w:fill="F3F3F3"/>
    </w:rPr>
  </w:style>
  <w:style w:type="character" w:customStyle="1" w:styleId="49">
    <w:name w:val="hover58"/>
    <w:basedOn w:val="5"/>
    <w:uiPriority w:val="0"/>
    <w:rPr>
      <w:shd w:val="clear" w:fill="F3F3F3"/>
    </w:rPr>
  </w:style>
  <w:style w:type="character" w:customStyle="1" w:styleId="50">
    <w:name w:val="hover59"/>
    <w:basedOn w:val="5"/>
    <w:uiPriority w:val="0"/>
    <w:rPr>
      <w:shd w:val="clear" w:fill="F3F3F3"/>
    </w:rPr>
  </w:style>
  <w:style w:type="character" w:customStyle="1" w:styleId="51">
    <w:name w:val="hover60"/>
    <w:basedOn w:val="5"/>
    <w:qFormat/>
    <w:uiPriority w:val="0"/>
    <w:rPr>
      <w:shd w:val="clear" w:fill="F3F3F3"/>
    </w:rPr>
  </w:style>
  <w:style w:type="character" w:customStyle="1" w:styleId="52">
    <w:name w:val="tn-fuwu"/>
    <w:basedOn w:val="5"/>
    <w:uiPriority w:val="0"/>
    <w:rPr>
      <w:shd w:val="clear" w:fill="DA5026"/>
    </w:rPr>
  </w:style>
  <w:style w:type="character" w:customStyle="1" w:styleId="53">
    <w:name w:val="tn-jingpin"/>
    <w:basedOn w:val="5"/>
    <w:uiPriority w:val="0"/>
    <w:rPr>
      <w:shd w:val="clear" w:fill="1D79B7"/>
    </w:rPr>
  </w:style>
  <w:style w:type="character" w:customStyle="1" w:styleId="54">
    <w:name w:val="tn-diqu"/>
    <w:basedOn w:val="5"/>
    <w:uiPriority w:val="0"/>
    <w:rPr>
      <w:shd w:val="clear" w:fill="669330"/>
    </w:rPr>
  </w:style>
  <w:style w:type="character" w:customStyle="1" w:styleId="55">
    <w:name w:val="bds_more"/>
    <w:basedOn w:val="5"/>
    <w:uiPriority w:val="0"/>
    <w:rPr>
      <w:rFonts w:hint="eastAsia" w:ascii="宋体" w:hAnsi="宋体" w:eastAsia="宋体" w:cs="宋体"/>
    </w:rPr>
  </w:style>
  <w:style w:type="character" w:customStyle="1" w:styleId="56">
    <w:name w:val="bds_more1"/>
    <w:basedOn w:val="5"/>
    <w:uiPriority w:val="0"/>
  </w:style>
  <w:style w:type="character" w:customStyle="1" w:styleId="57">
    <w:name w:val="bds_more2"/>
    <w:basedOn w:val="5"/>
    <w:uiPriority w:val="0"/>
  </w:style>
  <w:style w:type="paragraph" w:customStyle="1" w:styleId="58">
    <w:name w:val="pbj"/>
    <w:basedOn w:val="1"/>
    <w:uiPriority w:val="0"/>
    <w:pPr>
      <w:jc w:val="left"/>
    </w:pPr>
    <w:rPr>
      <w:kern w:val="0"/>
      <w:lang w:val="en-US" w:eastAsia="zh-CN" w:bidi="ar"/>
    </w:rPr>
  </w:style>
  <w:style w:type="character" w:customStyle="1" w:styleId="59">
    <w:name w:val="time"/>
    <w:basedOn w:val="5"/>
    <w:uiPriority w:val="0"/>
    <w:rPr>
      <w:color w:val="777777"/>
    </w:rPr>
  </w:style>
  <w:style w:type="character" w:customStyle="1" w:styleId="60">
    <w:name w:val="onselect"/>
    <w:basedOn w:val="5"/>
    <w:uiPriority w:val="0"/>
    <w:rPr>
      <w:shd w:val="clear" w:fill="FF0000"/>
    </w:rPr>
  </w:style>
  <w:style w:type="character" w:customStyle="1" w:styleId="61">
    <w:name w:val="hover17"/>
    <w:basedOn w:val="5"/>
    <w:uiPriority w:val="0"/>
    <w:rPr>
      <w:color w:val="FFFFFF"/>
      <w:shd w:val="clear" w:fill="F9AC00"/>
    </w:rPr>
  </w:style>
  <w:style w:type="character" w:customStyle="1" w:styleId="62">
    <w:name w:val="keyword"/>
    <w:basedOn w:val="5"/>
    <w:uiPriority w:val="0"/>
    <w:rPr>
      <w:color w:val="FF0000"/>
    </w:rPr>
  </w:style>
  <w:style w:type="character" w:customStyle="1" w:styleId="63">
    <w:name w:val="more-zereo"/>
    <w:basedOn w:val="5"/>
    <w:uiPriority w:val="0"/>
    <w:rPr>
      <w:color w:val="EB0F0A"/>
    </w:rPr>
  </w:style>
  <w:style w:type="character" w:customStyle="1" w:styleId="64">
    <w:name w:val="hover14"/>
    <w:basedOn w:val="5"/>
    <w:uiPriority w:val="0"/>
    <w:rPr>
      <w:color w:val="FFFFFF"/>
      <w:shd w:val="clear" w:fill="F9AC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2016-08-05T08:47:46Z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