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财政部关于规范政府和社会资本合作合同管理工作的通知</w:t>
      </w:r>
    </w:p>
    <w:p>
      <w:pPr>
        <w:jc w:val="center"/>
        <w:rPr>
          <w:rFonts w:hint="eastAsia" w:ascii="宋体" w:hAnsi="宋体" w:eastAsia="宋体" w:cs="宋体"/>
          <w:b/>
          <w:bCs/>
          <w:lang w:val="en-US" w:eastAsia="zh-CN"/>
        </w:rPr>
      </w:pPr>
      <w:r>
        <w:rPr>
          <w:rFonts w:hint="eastAsia" w:ascii="宋体" w:hAnsi="宋体" w:eastAsia="宋体" w:cs="宋体"/>
          <w:b/>
          <w:bCs/>
          <w:lang w:val="en-US" w:eastAsia="zh-CN"/>
        </w:rPr>
        <w:t>【财金[2014]156号】</w:t>
      </w:r>
    </w:p>
    <w:bookmarkEnd w:id="0"/>
    <w:p>
      <w:pPr>
        <w:jc w:val="center"/>
        <w:rPr>
          <w:rFonts w:hint="eastAsia" w:ascii="宋体" w:hAnsi="宋体" w:eastAsia="宋体" w:cs="宋体"/>
          <w:b/>
          <w:bCs/>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各省、自治区、直辖市、计划单列市财政厅（局），新疆生产建设兵团财务局：</w:t>
      </w:r>
    </w:p>
    <w:p>
      <w:pPr>
        <w:rPr>
          <w:rFonts w:hint="eastAsia" w:ascii="宋体" w:hAnsi="宋体" w:eastAsia="宋体" w:cs="宋体"/>
          <w:lang w:val="en-US" w:eastAsia="zh-CN"/>
        </w:rPr>
      </w:pPr>
      <w:r>
        <w:rPr>
          <w:rFonts w:hint="eastAsia" w:ascii="宋体" w:hAnsi="宋体" w:eastAsia="宋体" w:cs="宋体"/>
          <w:lang w:val="en-US" w:eastAsia="zh-CN"/>
        </w:rPr>
        <w:t>　　根据《关于推广运用政府和社会资本合作模式有关问题的通知》（财金〔2014〕76号）和《关于印发政府和社会资本合作模式操作指南（试行）的通知》（财金〔2014〕113号），为科学规范推广运用政府和社会资本合作（Public-Private Partnership, 以下简称PPP）模式,现就规范PPP合同管理工作通知如下：</w:t>
      </w:r>
    </w:p>
    <w:p>
      <w:pPr>
        <w:rPr>
          <w:rFonts w:hint="eastAsia" w:ascii="宋体" w:hAnsi="宋体" w:eastAsia="宋体" w:cs="宋体"/>
          <w:b/>
          <w:bCs/>
          <w:lang w:val="en-US" w:eastAsia="zh-CN"/>
        </w:rPr>
      </w:pPr>
      <w:r>
        <w:rPr>
          <w:rFonts w:hint="eastAsia" w:ascii="宋体" w:hAnsi="宋体" w:eastAsia="宋体" w:cs="宋体"/>
          <w:b/>
          <w:bCs/>
          <w:lang w:val="en-US" w:eastAsia="zh-CN"/>
        </w:rPr>
        <w:t>　　一、高度重视PPP合同管理工作</w:t>
      </w:r>
    </w:p>
    <w:p>
      <w:pPr>
        <w:rPr>
          <w:rFonts w:hint="eastAsia" w:ascii="宋体" w:hAnsi="宋体" w:eastAsia="宋体" w:cs="宋体"/>
          <w:lang w:val="en-US" w:eastAsia="zh-CN"/>
        </w:rPr>
      </w:pPr>
      <w:r>
        <w:rPr>
          <w:rFonts w:hint="eastAsia" w:ascii="宋体" w:hAnsi="宋体" w:eastAsia="宋体" w:cs="宋体"/>
          <w:lang w:val="en-US" w:eastAsia="zh-CN"/>
        </w:rPr>
        <w:t>　　PPP模式是在基础设施和公共服务领域政府和社会资本基于合同建立的一种合作关系。“按合同办事”不仅是PPP模式的精神实质，也是依法治国、依法行政的内在要求。加强对PPP合同的起草、谈判、履行、变更、解除、转让、终止直至失效的全过程管理，通过合同正确表达意愿、合理分配风险、妥善履行义务、有效主张权利，是政府和社会资本长期友好合作的重要基础，也是PPP项目顺利实施的重要保障。地方财政部门在推进PPP中要高度重视、充分认识合同管理的重要意义，会同行业主管部门加强PPP合同管理工作。</w:t>
      </w:r>
    </w:p>
    <w:p>
      <w:pPr>
        <w:rPr>
          <w:rFonts w:hint="eastAsia" w:ascii="宋体" w:hAnsi="宋体" w:eastAsia="宋体" w:cs="宋体"/>
          <w:b/>
          <w:bCs/>
          <w:lang w:val="en-US" w:eastAsia="zh-CN"/>
        </w:rPr>
      </w:pPr>
      <w:r>
        <w:rPr>
          <w:rFonts w:hint="eastAsia" w:ascii="宋体" w:hAnsi="宋体" w:eastAsia="宋体" w:cs="宋体"/>
          <w:b/>
          <w:bCs/>
          <w:lang w:val="en-US" w:eastAsia="zh-CN"/>
        </w:rPr>
        <w:t>　　二、切实遵循PPP合同管理的核心原则</w:t>
      </w:r>
    </w:p>
    <w:p>
      <w:pPr>
        <w:rPr>
          <w:rFonts w:hint="eastAsia" w:ascii="宋体" w:hAnsi="宋体" w:eastAsia="宋体" w:cs="宋体"/>
          <w:lang w:val="en-US" w:eastAsia="zh-CN"/>
        </w:rPr>
      </w:pPr>
      <w:r>
        <w:rPr>
          <w:rFonts w:hint="eastAsia" w:ascii="宋体" w:hAnsi="宋体" w:eastAsia="宋体" w:cs="宋体"/>
          <w:lang w:val="en-US" w:eastAsia="zh-CN"/>
        </w:rPr>
        <w:t>　　为规范PPP合同管理工作，财政部制定了《PPP项目合同指南（试行）》（见附件），后续还将研究制定标准化合同文本等。各级财政部门在推进PPP工作中，要切实遵循以下原则：</w:t>
      </w:r>
    </w:p>
    <w:p>
      <w:pPr>
        <w:rPr>
          <w:rFonts w:hint="eastAsia" w:ascii="宋体" w:hAnsi="宋体" w:eastAsia="宋体" w:cs="宋体"/>
          <w:lang w:val="en-US" w:eastAsia="zh-CN"/>
        </w:rPr>
      </w:pPr>
      <w:r>
        <w:rPr>
          <w:rFonts w:hint="eastAsia" w:ascii="宋体" w:hAnsi="宋体" w:eastAsia="宋体" w:cs="宋体"/>
          <w:lang w:val="en-US" w:eastAsia="zh-CN"/>
        </w:rPr>
        <w:t>　　（一）依法治理。在依法治国、依法行政的框架下，充分发挥市场在资源配置中的决定性作用，允许政府和社会资本依法自由选择合作伙伴，充分尊重双方在合同订立和履行过程中的契约自由，依法保护PPP项目各参与方的合法权益，共同维护法律权威和公平正义。</w:t>
      </w:r>
    </w:p>
    <w:p>
      <w:pPr>
        <w:rPr>
          <w:rFonts w:hint="eastAsia" w:ascii="宋体" w:hAnsi="宋体" w:eastAsia="宋体" w:cs="宋体"/>
          <w:lang w:val="en-US" w:eastAsia="zh-CN"/>
        </w:rPr>
      </w:pPr>
      <w:r>
        <w:rPr>
          <w:rFonts w:hint="eastAsia" w:ascii="宋体" w:hAnsi="宋体" w:eastAsia="宋体" w:cs="宋体"/>
          <w:lang w:val="en-US" w:eastAsia="zh-CN"/>
        </w:rPr>
        <w:t>　　（二）平等合作。在PPP模式下，政府与社会资本是基于PPP项目合同的平等法律主体，双方法律地位平等、权利义务对等，应在充分协商、互利互惠的基础上订立合同，并依法平等地主张合同权利、履行合同义务。</w:t>
      </w:r>
    </w:p>
    <w:p>
      <w:pPr>
        <w:rPr>
          <w:rFonts w:hint="eastAsia" w:ascii="宋体" w:hAnsi="宋体" w:eastAsia="宋体" w:cs="宋体"/>
          <w:lang w:val="en-US" w:eastAsia="zh-CN"/>
        </w:rPr>
      </w:pPr>
      <w:r>
        <w:rPr>
          <w:rFonts w:hint="eastAsia" w:ascii="宋体" w:hAnsi="宋体" w:eastAsia="宋体" w:cs="宋体"/>
          <w:lang w:val="en-US" w:eastAsia="zh-CN"/>
        </w:rPr>
        <w:t>　　（三）维护公益。建立履约管理、行政监管和社会监督“三位一体”的监管架构，优先保障公共安全和公共利益。PPP项目合同中除应规定社会资本方的绩效监测和质量控制等义务外，还应保证政府方合理的监督权和介入权，以加强对社会资本的履约管理。与此同时，政府还应依法严格履行行政管理职能，建立健全及时有效的项目信息公开和公众监督机制。</w:t>
      </w:r>
    </w:p>
    <w:p>
      <w:pPr>
        <w:rPr>
          <w:rFonts w:hint="eastAsia" w:ascii="宋体" w:hAnsi="宋体" w:eastAsia="宋体" w:cs="宋体"/>
          <w:lang w:val="en-US" w:eastAsia="zh-CN"/>
        </w:rPr>
      </w:pPr>
      <w:r>
        <w:rPr>
          <w:rFonts w:hint="eastAsia" w:ascii="宋体" w:hAnsi="宋体" w:eastAsia="宋体" w:cs="宋体"/>
          <w:lang w:val="en-US" w:eastAsia="zh-CN"/>
        </w:rPr>
        <w:t>　　（四）诚实守信。政府和社会资本应在PPP项目合同中明确界定双方在项目融资、建设、运营、移交等全生命周期内的权利义务，并在合同管理的全过程中真实表达意思表示，认真恪守合同约定，妥善履行合同义务，依法承担违约责任。</w:t>
      </w:r>
    </w:p>
    <w:p>
      <w:pPr>
        <w:rPr>
          <w:rFonts w:hint="eastAsia" w:ascii="宋体" w:hAnsi="宋体" w:eastAsia="宋体" w:cs="宋体"/>
          <w:lang w:val="en-US" w:eastAsia="zh-CN"/>
        </w:rPr>
      </w:pPr>
      <w:r>
        <w:rPr>
          <w:rFonts w:hint="eastAsia" w:ascii="宋体" w:hAnsi="宋体" w:eastAsia="宋体" w:cs="宋体"/>
          <w:lang w:val="en-US" w:eastAsia="zh-CN"/>
        </w:rPr>
        <w:t>　　（五）公平效率。在PPP项目合同中要始终贯彻物有所值原则，在风险分担和利益分配方面兼顾公平与效率：既要通过在政府和社会资本之间合理分配项目风险，实现公共服务供给效率和资金使用效益的提升，又要在设置合作期限、方式和投资回报机制时，统筹考虑社会资本方的合理收益预期、政府方的财政承受能力以及使用者的支付能力，防止任何一方因此过分受损或超额获益。</w:t>
      </w:r>
    </w:p>
    <w:p>
      <w:pPr>
        <w:rPr>
          <w:rFonts w:hint="eastAsia" w:ascii="宋体" w:hAnsi="宋体" w:eastAsia="宋体" w:cs="宋体"/>
          <w:lang w:val="en-US" w:eastAsia="zh-CN"/>
        </w:rPr>
      </w:pPr>
      <w:r>
        <w:rPr>
          <w:rFonts w:hint="eastAsia" w:ascii="宋体" w:hAnsi="宋体" w:eastAsia="宋体" w:cs="宋体"/>
          <w:lang w:val="en-US" w:eastAsia="zh-CN"/>
        </w:rPr>
        <w:t>　　（六）兼顾灵活。鉴于PPP项目的生命周期通常较长，在合同订立时既要充分考虑项目全生命周期内的实际需求，保证合同内容的完整性和相对稳定性，也要合理设置一些关于期限变更（展期和提前终止）、内容变更（产出标准调整、价格调整等）、主体变更（合同转让）的灵活调整机制，为未来可能长达20-30年的合同执行期预留调整和变更空间。</w:t>
      </w:r>
    </w:p>
    <w:p>
      <w:pPr>
        <w:rPr>
          <w:rFonts w:hint="eastAsia" w:ascii="宋体" w:hAnsi="宋体" w:eastAsia="宋体" w:cs="宋体"/>
          <w:b/>
          <w:bCs/>
          <w:lang w:val="en-US" w:eastAsia="zh-CN"/>
        </w:rPr>
      </w:pPr>
      <w:r>
        <w:rPr>
          <w:rFonts w:hint="eastAsia" w:ascii="宋体" w:hAnsi="宋体" w:eastAsia="宋体" w:cs="宋体"/>
          <w:b/>
          <w:bCs/>
          <w:lang w:val="en-US" w:eastAsia="zh-CN"/>
        </w:rPr>
        <w:t>　　三、有效推进PPP合同管理工作</w:t>
      </w:r>
    </w:p>
    <w:p>
      <w:pPr>
        <w:rPr>
          <w:rFonts w:hint="eastAsia" w:ascii="宋体" w:hAnsi="宋体" w:eastAsia="宋体" w:cs="宋体"/>
          <w:lang w:val="en-US" w:eastAsia="zh-CN"/>
        </w:rPr>
      </w:pPr>
      <w:r>
        <w:rPr>
          <w:rFonts w:hint="eastAsia" w:ascii="宋体" w:hAnsi="宋体" w:eastAsia="宋体" w:cs="宋体"/>
          <w:lang w:val="en-US" w:eastAsia="zh-CN"/>
        </w:rPr>
        <w:t>　　（一）加强组织协调，保障合同效力。在推进PPP的过程中，各级财政部门要会同行业主管部门做好合同审核和履约管理工作，确保合同内容真实反映各方意愿、合理分配项目风险、明确划分各方义务、有效保障合法权益，为PPP项目的顺利实施和全生命周期管理提供合法有效的合同依据。</w:t>
      </w:r>
    </w:p>
    <w:p>
      <w:pPr>
        <w:rPr>
          <w:rFonts w:hint="eastAsia" w:ascii="宋体" w:hAnsi="宋体" w:eastAsia="宋体" w:cs="宋体"/>
          <w:lang w:val="en-US" w:eastAsia="zh-CN"/>
        </w:rPr>
      </w:pPr>
      <w:r>
        <w:rPr>
          <w:rFonts w:hint="eastAsia" w:ascii="宋体" w:hAnsi="宋体" w:eastAsia="宋体" w:cs="宋体"/>
          <w:lang w:val="en-US" w:eastAsia="zh-CN"/>
        </w:rPr>
        <w:t>　　（二）加强能力建设，防控项目风险。各级财政部门要组织加强对当地政府及相关部门、社会资本以及PPP项目其他参与方的法律和合同管理培训，使各方牢固树立法律意识和契约观念，逐步提升各参与方对PPP项目合同的精神主旨、核心内容和谈判要点的理解把握能力。在合同管理全过程中，要充分借助、积极运用法律、投资、财务、保险等专业咨询顾问机构的力量，提升PPP项目合同的科学性、规范性和操作性，充分识别、合理防控项目风险。</w:t>
      </w:r>
    </w:p>
    <w:p>
      <w:pPr>
        <w:rPr>
          <w:rFonts w:hint="eastAsia" w:ascii="宋体" w:hAnsi="宋体" w:eastAsia="宋体" w:cs="宋体"/>
          <w:lang w:val="en-US" w:eastAsia="zh-CN"/>
        </w:rPr>
      </w:pPr>
      <w:r>
        <w:rPr>
          <w:rFonts w:hint="eastAsia" w:ascii="宋体" w:hAnsi="宋体" w:eastAsia="宋体" w:cs="宋体"/>
          <w:lang w:val="en-US" w:eastAsia="zh-CN"/>
        </w:rPr>
        <w:t>　　（三）总结项目经验，规范合同条款。各级财政部门要会同行业主管部门结合PPP项目试点工作，抓好合同管理的贯彻落实，不断细化、完善合同条款，及时总结经验，逐步形成一批科学合理、全面规范、切实可行的合同文本，以供参考示范。财政部将在总结各地实践的基础上，逐步出台主要行业领域和主要运作方式的PPP项目合同标准示范文本，以进一步规范合同内容、统一合同共识、缩短合同准备和谈判周期，加快PPP模式推广应用。</w:t>
      </w:r>
    </w:p>
    <w:p>
      <w:pPr>
        <w:ind w:firstLine="420"/>
        <w:rPr>
          <w:rFonts w:hint="eastAsia" w:ascii="宋体" w:hAnsi="宋体" w:eastAsia="宋体" w:cs="宋体"/>
          <w:lang w:val="en-US" w:eastAsia="zh-CN"/>
        </w:rPr>
      </w:pPr>
      <w:r>
        <w:rPr>
          <w:rFonts w:hint="eastAsia" w:ascii="宋体" w:hAnsi="宋体" w:eastAsia="宋体" w:cs="宋体"/>
          <w:lang w:val="en-US" w:eastAsia="zh-CN"/>
        </w:rPr>
        <w:t>附件：</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"PPP项目合同指南（试行）.pdf" </w:instrText>
      </w:r>
      <w:r>
        <w:rPr>
          <w:rFonts w:hint="eastAsia" w:ascii="宋体" w:hAnsi="宋体" w:eastAsia="宋体" w:cs="宋体"/>
          <w:lang w:val="en-US" w:eastAsia="zh-CN"/>
        </w:rPr>
        <w:fldChar w:fldCharType="separate"/>
      </w:r>
      <w:r>
        <w:rPr>
          <w:rStyle w:val="11"/>
          <w:rFonts w:hint="eastAsia" w:ascii="宋体" w:hAnsi="宋体" w:eastAsia="宋体" w:cs="宋体"/>
          <w:lang w:val="en-US" w:eastAsia="zh-CN"/>
        </w:rPr>
        <w:t>PPP项目合同指南（试行）</w:t>
      </w:r>
      <w:r>
        <w:rPr>
          <w:rFonts w:hint="eastAsia" w:ascii="宋体" w:hAnsi="宋体" w:eastAsia="宋体" w:cs="宋体"/>
          <w:lang w:val="en-US" w:eastAsia="zh-CN"/>
        </w:rPr>
        <w:fldChar w:fldCharType="end"/>
      </w:r>
    </w:p>
    <w:p>
      <w:pPr>
        <w:ind w:firstLine="420"/>
        <w:rPr>
          <w:rFonts w:hint="eastAsia" w:ascii="宋体" w:hAnsi="宋体" w:eastAsia="宋体" w:cs="宋体"/>
          <w:lang w:val="en-US" w:eastAsia="zh-CN"/>
        </w:rPr>
      </w:pPr>
    </w:p>
    <w:p>
      <w:pPr>
        <w:jc w:val="right"/>
        <w:rPr>
          <w:rFonts w:hint="eastAsia" w:ascii="宋体" w:hAnsi="宋体" w:eastAsia="宋体" w:cs="宋体"/>
          <w:lang w:val="en-US" w:eastAsia="zh-CN"/>
        </w:rPr>
      </w:pPr>
      <w:r>
        <w:rPr>
          <w:rFonts w:hint="eastAsia" w:ascii="宋体" w:hAnsi="宋体" w:eastAsia="宋体" w:cs="宋体"/>
          <w:lang w:val="en-US" w:eastAsia="zh-CN"/>
        </w:rPr>
        <w:t>　　财政部</w:t>
      </w:r>
    </w:p>
    <w:p>
      <w:pPr>
        <w:jc w:val="right"/>
        <w:rPr>
          <w:rFonts w:hint="eastAsia" w:ascii="宋体" w:hAnsi="宋体" w:eastAsia="宋体" w:cs="宋体"/>
          <w:lang w:val="en-US" w:eastAsia="zh-CN"/>
        </w:rPr>
      </w:pPr>
      <w:r>
        <w:rPr>
          <w:rFonts w:hint="eastAsia" w:ascii="宋体" w:hAnsi="宋体" w:eastAsia="宋体" w:cs="宋体"/>
          <w:lang w:val="en-US" w:eastAsia="zh-CN"/>
        </w:rPr>
        <w:t>　　2014年12月30日</w:t>
      </w:r>
    </w:p>
    <w:p>
      <w:pPr>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2E5427"/>
    <w:rsid w:val="17EE545F"/>
    <w:rsid w:val="198860F9"/>
    <w:rsid w:val="1B0A3499"/>
    <w:rsid w:val="2182268D"/>
    <w:rsid w:val="24EC5364"/>
    <w:rsid w:val="251865EA"/>
    <w:rsid w:val="275012D1"/>
    <w:rsid w:val="36EA50A7"/>
    <w:rsid w:val="39E113F5"/>
    <w:rsid w:val="3B2F6EF7"/>
    <w:rsid w:val="3CDF67F3"/>
    <w:rsid w:val="3D9A530C"/>
    <w:rsid w:val="4B4F1F4F"/>
    <w:rsid w:val="4D765109"/>
    <w:rsid w:val="572040A1"/>
    <w:rsid w:val="5FFD6D65"/>
    <w:rsid w:val="6080698E"/>
    <w:rsid w:val="64013AF7"/>
    <w:rsid w:val="65A31D7F"/>
    <w:rsid w:val="6C7675A4"/>
    <w:rsid w:val="70283050"/>
    <w:rsid w:val="71A242A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ind w:left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hint="default" w:ascii="Menlo" w:hAnsi="Menlo" w:eastAsia="Menlo" w:cs="Menlo"/>
      <w:color w:val="FFFFFF"/>
      <w:sz w:val="21"/>
      <w:szCs w:val="21"/>
      <w:bdr w:val="none" w:color="auto" w:sz="0" w:space="0"/>
      <w:shd w:val="clear" w:fill="333333"/>
    </w:rPr>
  </w:style>
  <w:style w:type="character" w:styleId="15">
    <w:name w:val="HTML Sample"/>
    <w:basedOn w:val="5"/>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uiPriority w:val="0"/>
  </w:style>
  <w:style w:type="character" w:customStyle="1" w:styleId="39">
    <w:name w:val="on"/>
    <w:basedOn w:val="5"/>
    <w:uiPriority w:val="0"/>
    <w:rPr>
      <w:color w:val="FFFFFF"/>
    </w:rPr>
  </w:style>
  <w:style w:type="character" w:customStyle="1" w:styleId="40">
    <w:name w:val="cur"/>
    <w:basedOn w:val="5"/>
    <w:uiPriority w:val="0"/>
    <w:rPr>
      <w:b/>
    </w:rPr>
  </w:style>
  <w:style w:type="character" w:customStyle="1" w:styleId="41">
    <w:name w:val="cur1"/>
    <w:basedOn w:val="5"/>
    <w:qFormat/>
    <w:uiPriority w:val="0"/>
    <w:rPr>
      <w:b/>
    </w:rPr>
  </w:style>
  <w:style w:type="character" w:customStyle="1" w:styleId="42">
    <w:name w:val="cur2"/>
    <w:basedOn w:val="5"/>
    <w:uiPriority w:val="0"/>
    <w:rPr>
      <w:shd w:val="clear" w:fill="FF0000"/>
    </w:rPr>
  </w:style>
  <w:style w:type="character" w:customStyle="1" w:styleId="43">
    <w:name w:val="normal"/>
    <w:basedOn w:val="5"/>
    <w:uiPriority w:val="0"/>
    <w:rPr>
      <w:color w:val="FFFFFF"/>
    </w:rPr>
  </w:style>
  <w:style w:type="character" w:customStyle="1" w:styleId="44">
    <w:name w:val="normal1"/>
    <w:basedOn w:val="5"/>
    <w:uiPriority w:val="0"/>
    <w:rPr>
      <w:color w:val="FFFFFF"/>
    </w:rPr>
  </w:style>
  <w:style w:type="character" w:customStyle="1" w:styleId="45">
    <w:name w:val="normal2"/>
    <w:basedOn w:val="5"/>
    <w:uiPriority w:val="0"/>
    <w:rPr>
      <w:color w:val="000000"/>
    </w:rPr>
  </w:style>
  <w:style w:type="character" w:customStyle="1" w:styleId="46">
    <w:name w:val="more"/>
    <w:basedOn w:val="5"/>
    <w:uiPriority w:val="0"/>
    <w:rPr>
      <w:color w:val="666666"/>
      <w:sz w:val="18"/>
      <w:szCs w:val="18"/>
    </w:rPr>
  </w:style>
  <w:style w:type="character" w:customStyle="1" w:styleId="47">
    <w:name w:val="tn-zhishi"/>
    <w:basedOn w:val="5"/>
    <w:uiPriority w:val="0"/>
    <w:rPr>
      <w:shd w:val="clear" w:fill="8B6124"/>
    </w:rPr>
  </w:style>
  <w:style w:type="character" w:customStyle="1" w:styleId="48">
    <w:name w:val="hover57"/>
    <w:basedOn w:val="5"/>
    <w:uiPriority w:val="0"/>
    <w:rPr>
      <w:shd w:val="clear" w:fill="F3F3F3"/>
    </w:rPr>
  </w:style>
  <w:style w:type="character" w:customStyle="1" w:styleId="49">
    <w:name w:val="hover58"/>
    <w:basedOn w:val="5"/>
    <w:uiPriority w:val="0"/>
    <w:rPr>
      <w:shd w:val="clear" w:fill="F3F3F3"/>
    </w:rPr>
  </w:style>
  <w:style w:type="character" w:customStyle="1" w:styleId="50">
    <w:name w:val="hover59"/>
    <w:basedOn w:val="5"/>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uiPriority w:val="0"/>
    <w:rPr>
      <w:shd w:val="clear" w:fill="DA5026"/>
    </w:rPr>
  </w:style>
  <w:style w:type="character" w:customStyle="1" w:styleId="53">
    <w:name w:val="tn-jingpin"/>
    <w:basedOn w:val="5"/>
    <w:uiPriority w:val="0"/>
    <w:rPr>
      <w:shd w:val="clear" w:fill="1D79B7"/>
    </w:rPr>
  </w:style>
  <w:style w:type="character" w:customStyle="1" w:styleId="54">
    <w:name w:val="tn-diqu"/>
    <w:basedOn w:val="5"/>
    <w:uiPriority w:val="0"/>
    <w:rPr>
      <w:shd w:val="clear" w:fill="669330"/>
    </w:rPr>
  </w:style>
  <w:style w:type="character" w:customStyle="1" w:styleId="55">
    <w:name w:val="bds_more"/>
    <w:basedOn w:val="5"/>
    <w:uiPriority w:val="0"/>
    <w:rPr>
      <w:rFonts w:hint="eastAsia" w:ascii="宋体" w:hAnsi="宋体" w:eastAsia="宋体" w:cs="宋体"/>
    </w:rPr>
  </w:style>
  <w:style w:type="character" w:customStyle="1" w:styleId="56">
    <w:name w:val="bds_more1"/>
    <w:basedOn w:val="5"/>
    <w:uiPriority w:val="0"/>
  </w:style>
  <w:style w:type="character" w:customStyle="1" w:styleId="57">
    <w:name w:val="bds_more2"/>
    <w:basedOn w:val="5"/>
    <w:uiPriority w:val="0"/>
  </w:style>
  <w:style w:type="paragraph" w:customStyle="1" w:styleId="58">
    <w:name w:val="pbj"/>
    <w:basedOn w:val="1"/>
    <w:uiPriority w:val="0"/>
    <w:pPr>
      <w:jc w:val="left"/>
    </w:pPr>
    <w:rPr>
      <w:kern w:val="0"/>
      <w:lang w:val="en-US" w:eastAsia="zh-CN" w:bidi="ar"/>
    </w:rPr>
  </w:style>
  <w:style w:type="character" w:customStyle="1" w:styleId="59">
    <w:name w:val="time"/>
    <w:basedOn w:val="5"/>
    <w:uiPriority w:val="0"/>
    <w:rPr>
      <w:color w:val="777777"/>
    </w:rPr>
  </w:style>
  <w:style w:type="character" w:customStyle="1" w:styleId="60">
    <w:name w:val="onselect"/>
    <w:basedOn w:val="5"/>
    <w:uiPriority w:val="0"/>
    <w:rPr>
      <w:shd w:val="clear" w:fill="FF0000"/>
    </w:rPr>
  </w:style>
  <w:style w:type="character" w:customStyle="1" w:styleId="61">
    <w:name w:val="hover17"/>
    <w:basedOn w:val="5"/>
    <w:uiPriority w:val="0"/>
    <w:rPr>
      <w:color w:val="FFFFFF"/>
      <w:shd w:val="clear" w:fill="F9AC00"/>
    </w:rPr>
  </w:style>
  <w:style w:type="character" w:customStyle="1" w:styleId="62">
    <w:name w:val="keyword"/>
    <w:basedOn w:val="5"/>
    <w:uiPriority w:val="0"/>
    <w:rPr>
      <w:color w:val="FF0000"/>
    </w:rPr>
  </w:style>
  <w:style w:type="character" w:customStyle="1" w:styleId="63">
    <w:name w:val="more-zereo"/>
    <w:basedOn w:val="5"/>
    <w:uiPriority w:val="0"/>
    <w:rPr>
      <w:color w:val="EB0F0A"/>
    </w:rPr>
  </w:style>
  <w:style w:type="character" w:customStyle="1" w:styleId="64">
    <w:name w:val="hover14"/>
    <w:basedOn w:val="5"/>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2016-08-05T09:02:18Z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