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jc w:val="center"/>
        <w:rPr>
          <w:rFonts w:hint="eastAsia" w:ascii="宋体" w:hAnsi="宋体" w:eastAsia="宋体" w:cs="宋体"/>
        </w:rPr>
      </w:pPr>
      <w:bookmarkStart w:id="0" w:name="_GoBack"/>
      <w:r>
        <w:rPr>
          <w:rFonts w:hint="eastAsia" w:ascii="宋体" w:hAnsi="宋体" w:eastAsia="宋体" w:cs="宋体"/>
          <w:b/>
          <w:bCs/>
          <w:lang w:val="en-US" w:eastAsia="zh-CN"/>
        </w:rPr>
        <w:t>重庆市</w:t>
      </w:r>
      <w:r>
        <w:rPr>
          <w:rFonts w:hint="eastAsia" w:ascii="宋体" w:hAnsi="宋体" w:eastAsia="宋体" w:cs="宋体"/>
          <w:b/>
          <w:bCs/>
          <w:lang w:val="en-US" w:eastAsia="zh-CN"/>
        </w:rPr>
        <w:t>PPP投融资模式改革实施方案</w:t>
      </w:r>
    </w:p>
    <w:bookmarkEnd w:id="0"/>
    <w:p>
      <w:pPr>
        <w:pStyle w:val="17"/>
        <w:rPr>
          <w:rFonts w:hint="eastAsia" w:ascii="宋体" w:hAnsi="宋体" w:eastAsia="宋体" w:cs="宋体"/>
        </w:rPr>
      </w:pPr>
      <w:r>
        <w:rPr>
          <w:rFonts w:hint="eastAsia" w:ascii="宋体" w:hAnsi="宋体" w:eastAsia="宋体" w:cs="宋体"/>
          <w:lang w:val="en-US" w:eastAsia="zh-CN"/>
        </w:rPr>
        <w:t>为深入贯彻落实党的十八届三中全会精神，充分发挥市场在资源配置中的决定性作用和更好发挥政府作用，市委将</w:t>
      </w:r>
      <w:r>
        <w:rPr>
          <w:rFonts w:hint="eastAsia" w:ascii="宋体" w:hAnsi="宋体" w:eastAsia="宋体" w:cs="宋体"/>
          <w:lang w:val="en-US" w:eastAsia="zh-CN"/>
        </w:rPr>
        <w:t>PPP</w:t>
      </w:r>
      <w:r>
        <w:rPr>
          <w:rFonts w:hint="eastAsia" w:ascii="宋体" w:hAnsi="宋体" w:eastAsia="宋体" w:cs="宋体"/>
          <w:lang w:val="en-US" w:eastAsia="zh-CN"/>
        </w:rPr>
        <w:t>投融资模式改革列入了</w:t>
      </w:r>
      <w:r>
        <w:rPr>
          <w:rFonts w:hint="eastAsia" w:ascii="宋体" w:hAnsi="宋体" w:eastAsia="宋体" w:cs="宋体"/>
          <w:lang w:val="en-US" w:eastAsia="zh-CN"/>
        </w:rPr>
        <w:t>25</w:t>
      </w:r>
      <w:r>
        <w:rPr>
          <w:rFonts w:hint="eastAsia" w:ascii="宋体" w:hAnsi="宋体" w:eastAsia="宋体" w:cs="宋体"/>
          <w:lang w:val="en-US" w:eastAsia="zh-CN"/>
        </w:rPr>
        <w:t>项重点改革专项工作。从重庆实际出发，推进</w:t>
      </w:r>
      <w:r>
        <w:rPr>
          <w:rFonts w:hint="eastAsia" w:ascii="宋体" w:hAnsi="宋体" w:eastAsia="宋体" w:cs="宋体"/>
          <w:lang w:val="en-US" w:eastAsia="zh-CN"/>
        </w:rPr>
        <w:t>PPP</w:t>
      </w:r>
      <w:r>
        <w:rPr>
          <w:rFonts w:hint="eastAsia" w:ascii="宋体" w:hAnsi="宋体" w:eastAsia="宋体" w:cs="宋体"/>
          <w:lang w:val="en-US" w:eastAsia="zh-CN"/>
        </w:rPr>
        <w:t>投融资改革，是加快基础设施建设、提供更多公共产品、提升政府公共服务水平的重要途径，是突破城市发展资金瓶颈、化解政府性债务、深化国资国企改革的重要手段。按照立足当前、着眼长远的工作要求，确保积极稳妥推进，经研究提出如下工作方案。</w:t>
      </w:r>
    </w:p>
    <w:p>
      <w:pPr>
        <w:pStyle w:val="17"/>
        <w:rPr>
          <w:rFonts w:hint="eastAsia" w:ascii="宋体" w:hAnsi="宋体" w:eastAsia="宋体" w:cs="宋体"/>
          <w:b/>
          <w:bCs/>
        </w:rPr>
      </w:pPr>
      <w:r>
        <w:rPr>
          <w:rFonts w:hint="eastAsia" w:ascii="宋体" w:hAnsi="宋体" w:eastAsia="宋体" w:cs="宋体"/>
          <w:b/>
          <w:bCs/>
          <w:lang w:val="en-US" w:eastAsia="zh-CN"/>
        </w:rPr>
        <w:t>一、基本思路和基本原则</w:t>
      </w:r>
    </w:p>
    <w:p>
      <w:pPr>
        <w:pStyle w:val="17"/>
        <w:rPr>
          <w:rFonts w:hint="eastAsia" w:ascii="宋体" w:hAnsi="宋体" w:eastAsia="宋体" w:cs="宋体"/>
        </w:rPr>
      </w:pPr>
      <w:r>
        <w:rPr>
          <w:rFonts w:hint="eastAsia" w:ascii="宋体" w:hAnsi="宋体" w:eastAsia="宋体" w:cs="宋体"/>
          <w:lang w:val="en-US" w:eastAsia="zh-CN"/>
        </w:rPr>
        <w:t>PPP</w:t>
      </w:r>
      <w:r>
        <w:rPr>
          <w:rFonts w:hint="eastAsia" w:ascii="宋体" w:hAnsi="宋体" w:eastAsia="宋体" w:cs="宋体"/>
          <w:lang w:val="en-US" w:eastAsia="zh-CN"/>
        </w:rPr>
        <w:t>投融资（</w:t>
      </w:r>
      <w:r>
        <w:rPr>
          <w:rFonts w:hint="eastAsia" w:ascii="宋体" w:hAnsi="宋体" w:eastAsia="宋体" w:cs="宋体"/>
          <w:lang w:val="en-US" w:eastAsia="zh-CN"/>
        </w:rPr>
        <w:t>Public</w:t>
      </w:r>
      <w:r>
        <w:rPr>
          <w:rFonts w:hint="eastAsia" w:ascii="宋体" w:hAnsi="宋体" w:eastAsia="宋体" w:cs="宋体"/>
          <w:lang w:val="en-US" w:eastAsia="zh-CN"/>
        </w:rPr>
        <w:t>-</w:t>
      </w:r>
      <w:r>
        <w:rPr>
          <w:rFonts w:hint="eastAsia" w:ascii="宋体" w:hAnsi="宋体" w:eastAsia="宋体" w:cs="宋体"/>
          <w:lang w:val="en-US" w:eastAsia="zh-CN"/>
        </w:rPr>
        <w:t>Private</w:t>
      </w:r>
      <w:r>
        <w:rPr>
          <w:rFonts w:hint="eastAsia" w:ascii="宋体" w:hAnsi="宋体" w:eastAsia="宋体" w:cs="宋体"/>
          <w:lang w:val="en-US" w:eastAsia="zh-CN"/>
        </w:rPr>
        <w:t>-</w:t>
      </w:r>
      <w:r>
        <w:rPr>
          <w:rFonts w:hint="eastAsia" w:ascii="宋体" w:hAnsi="宋体" w:eastAsia="宋体" w:cs="宋体"/>
          <w:lang w:val="en-US" w:eastAsia="zh-CN"/>
        </w:rPr>
        <w:t>Partnership</w:t>
      </w:r>
      <w:r>
        <w:rPr>
          <w:rFonts w:hint="eastAsia" w:ascii="宋体" w:hAnsi="宋体" w:eastAsia="宋体" w:cs="宋体"/>
          <w:lang w:val="en-US" w:eastAsia="zh-CN"/>
        </w:rPr>
        <w:t>，缩写</w:t>
      </w:r>
      <w:r>
        <w:rPr>
          <w:rFonts w:hint="eastAsia" w:ascii="宋体" w:hAnsi="宋体" w:eastAsia="宋体" w:cs="宋体"/>
          <w:lang w:val="en-US" w:eastAsia="zh-CN"/>
        </w:rPr>
        <w:t>PPP</w:t>
      </w:r>
      <w:r>
        <w:rPr>
          <w:rFonts w:hint="eastAsia" w:ascii="宋体" w:hAnsi="宋体" w:eastAsia="宋体" w:cs="宋体"/>
          <w:lang w:val="en-US" w:eastAsia="zh-CN"/>
        </w:rPr>
        <w:t>），指政府与社会资本合作，为提供公共产品或服务而建立的全过程合作关系，以授予特许经营权为基础，以利益共享和风险分担为特征，通过引入市场竞争和激励约束机制，发挥双方优势，提高公共产品或服务的质量和供给效率。重点是建立健全市场化的价格发现机制、合理的政府补贴机制、科学的资源配置机制和有约束的利益分配机制。</w:t>
      </w:r>
    </w:p>
    <w:p>
      <w:pPr>
        <w:pStyle w:val="17"/>
        <w:rPr>
          <w:rFonts w:hint="eastAsia" w:ascii="宋体" w:hAnsi="宋体" w:eastAsia="宋体" w:cs="宋体"/>
        </w:rPr>
      </w:pPr>
      <w:r>
        <w:rPr>
          <w:rFonts w:hint="eastAsia" w:ascii="宋体" w:hAnsi="宋体" w:eastAsia="宋体" w:cs="宋体"/>
          <w:lang w:val="en-US" w:eastAsia="zh-CN"/>
        </w:rPr>
        <w:t>工作中注意把握以下基本原则：一是坚持风险共担。政府（或政府指定机构，下同）与投资人均承担相应的项目建设和运营风险，政府不得承担项目建设运营的兜底责任。二是坚持收益共享。政府既要充分调动社会资本参与的积极性，又要防止不合理让利或利益输送，要与投资人按合约分享项目的合理收益。三是坚持交易公平。除因国家安全、保密等有关规定外，资产或股权转让、出售等均进入相应交易场所进行，未经批准不得直接发包、转让、出售，确保交易规范、程序合法。四是坚持诚信守约。要规范制定合约，政府与投资人一旦签署合约都必须严格执行，无故违约必须依法赔偿。</w:t>
      </w:r>
    </w:p>
    <w:p>
      <w:pPr>
        <w:pStyle w:val="17"/>
        <w:rPr>
          <w:rFonts w:hint="eastAsia" w:ascii="宋体" w:hAnsi="宋体" w:eastAsia="宋体" w:cs="宋体"/>
          <w:b/>
          <w:bCs/>
        </w:rPr>
      </w:pPr>
      <w:r>
        <w:rPr>
          <w:rFonts w:hint="eastAsia" w:ascii="宋体" w:hAnsi="宋体" w:eastAsia="宋体" w:cs="宋体"/>
          <w:b/>
          <w:bCs/>
          <w:lang w:val="en-US" w:eastAsia="zh-CN"/>
        </w:rPr>
        <w:t>二、主要适用范围</w:t>
      </w:r>
    </w:p>
    <w:p>
      <w:pPr>
        <w:pStyle w:val="17"/>
        <w:rPr>
          <w:rFonts w:hint="eastAsia" w:ascii="宋体" w:hAnsi="宋体" w:eastAsia="宋体" w:cs="宋体"/>
        </w:rPr>
      </w:pPr>
      <w:r>
        <w:rPr>
          <w:rFonts w:hint="eastAsia" w:ascii="宋体" w:hAnsi="宋体" w:eastAsia="宋体" w:cs="宋体"/>
          <w:lang w:val="en-US" w:eastAsia="zh-CN"/>
        </w:rPr>
        <w:t>（一）经营收费、自负盈亏类项目。</w:t>
      </w:r>
      <w:r>
        <w:rPr>
          <w:rFonts w:hint="eastAsia" w:ascii="宋体" w:hAnsi="宋体" w:eastAsia="宋体" w:cs="宋体"/>
          <w:lang w:val="en-US" w:eastAsia="zh-CN"/>
        </w:rPr>
        <w:t>通过政府核定的经营收费价格及多种经营收入，实现项目建设运营自求平衡、投资人合理收益。可采取</w:t>
      </w:r>
      <w:r>
        <w:rPr>
          <w:rFonts w:hint="eastAsia" w:ascii="宋体" w:hAnsi="宋体" w:eastAsia="宋体" w:cs="宋体"/>
          <w:lang w:val="en-US" w:eastAsia="zh-CN"/>
        </w:rPr>
        <w:t>BOT</w:t>
      </w:r>
      <w:r>
        <w:rPr>
          <w:rFonts w:hint="eastAsia" w:ascii="宋体" w:hAnsi="宋体" w:eastAsia="宋体" w:cs="宋体"/>
          <w:lang w:val="en-US" w:eastAsia="zh-CN"/>
        </w:rPr>
        <w:t>（建设―经营―移交）、</w:t>
      </w:r>
      <w:r>
        <w:rPr>
          <w:rFonts w:hint="eastAsia" w:ascii="宋体" w:hAnsi="宋体" w:eastAsia="宋体" w:cs="宋体"/>
          <w:lang w:val="en-US" w:eastAsia="zh-CN"/>
        </w:rPr>
        <w:t>BOT+EPC</w:t>
      </w:r>
      <w:r>
        <w:rPr>
          <w:rFonts w:hint="eastAsia" w:ascii="宋体" w:hAnsi="宋体" w:eastAsia="宋体" w:cs="宋体"/>
          <w:lang w:val="en-US" w:eastAsia="zh-CN"/>
        </w:rPr>
        <w:t>（设计施工总承包基础上的</w:t>
      </w:r>
      <w:r>
        <w:rPr>
          <w:rFonts w:hint="eastAsia" w:ascii="宋体" w:hAnsi="宋体" w:eastAsia="宋体" w:cs="宋体"/>
          <w:lang w:val="en-US" w:eastAsia="zh-CN"/>
        </w:rPr>
        <w:t>BOT</w:t>
      </w:r>
      <w:r>
        <w:rPr>
          <w:rFonts w:hint="eastAsia" w:ascii="宋体" w:hAnsi="宋体" w:eastAsia="宋体" w:cs="宋体"/>
          <w:lang w:val="en-US" w:eastAsia="zh-CN"/>
        </w:rPr>
        <w:t>）等</w:t>
      </w:r>
      <w:r>
        <w:rPr>
          <w:rFonts w:hint="eastAsia" w:ascii="宋体" w:hAnsi="宋体" w:eastAsia="宋体" w:cs="宋体"/>
          <w:lang w:val="en-US" w:eastAsia="zh-CN"/>
        </w:rPr>
        <w:t>PPP</w:t>
      </w:r>
      <w:r>
        <w:rPr>
          <w:rFonts w:hint="eastAsia" w:ascii="宋体" w:hAnsi="宋体" w:eastAsia="宋体" w:cs="宋体"/>
          <w:lang w:val="en-US" w:eastAsia="zh-CN"/>
        </w:rPr>
        <w:t>投融资模式。</w:t>
      </w:r>
    </w:p>
    <w:p>
      <w:pPr>
        <w:pStyle w:val="17"/>
        <w:rPr>
          <w:rFonts w:hint="eastAsia" w:ascii="宋体" w:hAnsi="宋体" w:eastAsia="宋体" w:cs="宋体"/>
        </w:rPr>
      </w:pPr>
      <w:r>
        <w:rPr>
          <w:rFonts w:hint="eastAsia" w:ascii="宋体" w:hAnsi="宋体" w:eastAsia="宋体" w:cs="宋体"/>
          <w:lang w:val="en-US" w:eastAsia="zh-CN"/>
        </w:rPr>
        <w:t>（二）财政补贴、购买服务类项目。政府核定的经营收费价格不足以弥补项目运营成本，需要财政以购买服务方式给予补贴。可采取</w:t>
      </w:r>
      <w:r>
        <w:rPr>
          <w:rFonts w:hint="eastAsia" w:ascii="宋体" w:hAnsi="宋体" w:eastAsia="宋体" w:cs="宋体"/>
          <w:lang w:val="en-US" w:eastAsia="zh-CN"/>
        </w:rPr>
        <w:t>BOO</w:t>
      </w:r>
      <w:r>
        <w:rPr>
          <w:rFonts w:hint="eastAsia" w:ascii="宋体" w:hAnsi="宋体" w:eastAsia="宋体" w:cs="宋体"/>
          <w:lang w:val="en-US" w:eastAsia="zh-CN"/>
        </w:rPr>
        <w:t>（建设―拥有―经营）、</w:t>
      </w:r>
      <w:r>
        <w:rPr>
          <w:rFonts w:hint="eastAsia" w:ascii="宋体" w:hAnsi="宋体" w:eastAsia="宋体" w:cs="宋体"/>
          <w:lang w:val="en-US" w:eastAsia="zh-CN"/>
        </w:rPr>
        <w:t>TOO</w:t>
      </w:r>
      <w:r>
        <w:rPr>
          <w:rFonts w:hint="eastAsia" w:ascii="宋体" w:hAnsi="宋体" w:eastAsia="宋体" w:cs="宋体"/>
          <w:lang w:val="en-US" w:eastAsia="zh-CN"/>
        </w:rPr>
        <w:t>（移交―拥有―经营）等</w:t>
      </w:r>
      <w:r>
        <w:rPr>
          <w:rFonts w:hint="eastAsia" w:ascii="宋体" w:hAnsi="宋体" w:eastAsia="宋体" w:cs="宋体"/>
          <w:lang w:val="en-US" w:eastAsia="zh-CN"/>
        </w:rPr>
        <w:t>PPP</w:t>
      </w:r>
      <w:r>
        <w:rPr>
          <w:rFonts w:hint="eastAsia" w:ascii="宋体" w:hAnsi="宋体" w:eastAsia="宋体" w:cs="宋体"/>
          <w:lang w:val="en-US" w:eastAsia="zh-CN"/>
        </w:rPr>
        <w:t>投融资模式。</w:t>
      </w:r>
    </w:p>
    <w:p>
      <w:pPr>
        <w:pStyle w:val="17"/>
        <w:rPr>
          <w:rFonts w:hint="eastAsia" w:ascii="宋体" w:hAnsi="宋体" w:eastAsia="宋体" w:cs="宋体"/>
        </w:rPr>
      </w:pPr>
      <w:r>
        <w:rPr>
          <w:rFonts w:hint="eastAsia" w:ascii="宋体" w:hAnsi="宋体" w:eastAsia="宋体" w:cs="宋体"/>
          <w:lang w:val="en-US" w:eastAsia="zh-CN"/>
        </w:rPr>
        <w:t>（三）资源匹配、合理收益类项目。政府应当投资建设但经营收费价格和财政补贴到位存在较大困难的项目，通过土地储备和物业开发等资源匹配来改变边界条件，从而实现财务平衡。可采取</w:t>
      </w:r>
      <w:r>
        <w:rPr>
          <w:rFonts w:hint="eastAsia" w:ascii="宋体" w:hAnsi="宋体" w:eastAsia="宋体" w:cs="宋体"/>
          <w:lang w:val="en-US" w:eastAsia="zh-CN"/>
        </w:rPr>
        <w:t>BOT</w:t>
      </w:r>
      <w:r>
        <w:rPr>
          <w:rFonts w:hint="eastAsia" w:ascii="宋体" w:hAnsi="宋体" w:eastAsia="宋体" w:cs="宋体"/>
          <w:lang w:val="en-US" w:eastAsia="zh-CN"/>
        </w:rPr>
        <w:t>、</w:t>
      </w:r>
      <w:r>
        <w:rPr>
          <w:rFonts w:hint="eastAsia" w:ascii="宋体" w:hAnsi="宋体" w:eastAsia="宋体" w:cs="宋体"/>
          <w:lang w:val="en-US" w:eastAsia="zh-CN"/>
        </w:rPr>
        <w:t>TOT</w:t>
      </w:r>
      <w:r>
        <w:rPr>
          <w:rFonts w:hint="eastAsia" w:ascii="宋体" w:hAnsi="宋体" w:eastAsia="宋体" w:cs="宋体"/>
          <w:lang w:val="en-US" w:eastAsia="zh-CN"/>
        </w:rPr>
        <w:t>（移交―经营―移交）、股权基金等</w:t>
      </w:r>
      <w:r>
        <w:rPr>
          <w:rFonts w:hint="eastAsia" w:ascii="宋体" w:hAnsi="宋体" w:eastAsia="宋体" w:cs="宋体"/>
          <w:lang w:val="en-US" w:eastAsia="zh-CN"/>
        </w:rPr>
        <w:t>PPP</w:t>
      </w:r>
      <w:r>
        <w:rPr>
          <w:rFonts w:hint="eastAsia" w:ascii="宋体" w:hAnsi="宋体" w:eastAsia="宋体" w:cs="宋体"/>
          <w:lang w:val="en-US" w:eastAsia="zh-CN"/>
        </w:rPr>
        <w:t>投融资模式。</w:t>
      </w:r>
    </w:p>
    <w:p>
      <w:pPr>
        <w:pStyle w:val="17"/>
        <w:rPr>
          <w:rFonts w:hint="eastAsia" w:ascii="宋体" w:hAnsi="宋体" w:eastAsia="宋体" w:cs="宋体"/>
        </w:rPr>
      </w:pPr>
      <w:r>
        <w:rPr>
          <w:rFonts w:hint="eastAsia" w:ascii="宋体" w:hAnsi="宋体" w:eastAsia="宋体" w:cs="宋体"/>
          <w:lang w:val="en-US" w:eastAsia="zh-CN"/>
        </w:rPr>
        <w:t>（四）土地整治、收益约束类项目。对一级土地开发等投资增值项目，引入投资人直接投资但只能获取有限的合理收益。可采取整治―移交、股权融资等</w:t>
      </w:r>
      <w:r>
        <w:rPr>
          <w:rFonts w:hint="eastAsia" w:ascii="宋体" w:hAnsi="宋体" w:eastAsia="宋体" w:cs="宋体"/>
          <w:lang w:val="en-US" w:eastAsia="zh-CN"/>
        </w:rPr>
        <w:t>PPP</w:t>
      </w:r>
      <w:r>
        <w:rPr>
          <w:rFonts w:hint="eastAsia" w:ascii="宋体" w:hAnsi="宋体" w:eastAsia="宋体" w:cs="宋体"/>
          <w:lang w:val="en-US" w:eastAsia="zh-CN"/>
        </w:rPr>
        <w:t>投融资模式。</w:t>
      </w:r>
    </w:p>
    <w:p>
      <w:pPr>
        <w:pStyle w:val="17"/>
        <w:rPr>
          <w:rFonts w:hint="eastAsia" w:ascii="宋体" w:hAnsi="宋体" w:eastAsia="宋体" w:cs="宋体"/>
          <w:b/>
          <w:bCs/>
        </w:rPr>
      </w:pPr>
      <w:r>
        <w:rPr>
          <w:rFonts w:hint="eastAsia" w:ascii="宋体" w:hAnsi="宋体" w:eastAsia="宋体" w:cs="宋体"/>
          <w:b/>
          <w:bCs/>
          <w:lang w:val="en-US" w:eastAsia="zh-CN"/>
        </w:rPr>
        <w:t>三、重点推进领域</w:t>
      </w:r>
    </w:p>
    <w:p>
      <w:pPr>
        <w:pStyle w:val="17"/>
        <w:rPr>
          <w:rFonts w:hint="eastAsia" w:ascii="宋体" w:hAnsi="宋体" w:eastAsia="宋体" w:cs="宋体"/>
          <w:b/>
          <w:bCs/>
        </w:rPr>
      </w:pPr>
      <w:r>
        <w:rPr>
          <w:rFonts w:hint="eastAsia" w:ascii="宋体" w:hAnsi="宋体" w:eastAsia="宋体" w:cs="宋体"/>
          <w:b/>
          <w:bCs/>
          <w:lang w:val="en-US" w:eastAsia="zh-CN"/>
        </w:rPr>
        <w:t>（一）交通领域。</w:t>
      </w:r>
    </w:p>
    <w:p>
      <w:pPr>
        <w:pStyle w:val="17"/>
        <w:rPr>
          <w:rFonts w:hint="eastAsia" w:ascii="宋体" w:hAnsi="宋体" w:eastAsia="宋体" w:cs="宋体"/>
        </w:rPr>
      </w:pPr>
      <w:r>
        <w:rPr>
          <w:rFonts w:hint="eastAsia" w:ascii="宋体" w:hAnsi="宋体" w:eastAsia="宋体" w:cs="宋体"/>
          <w:lang w:val="en-US" w:eastAsia="zh-CN"/>
        </w:rPr>
        <w:t>1</w:t>
      </w:r>
      <w:r>
        <w:rPr>
          <w:rFonts w:hint="eastAsia" w:ascii="宋体" w:hAnsi="宋体" w:eastAsia="宋体" w:cs="宋体"/>
          <w:lang w:val="en-US" w:eastAsia="zh-CN"/>
        </w:rPr>
        <w:t>．高速公路。新建项目由政府通过公开招投标引入投资人，独资或合资成立项目公司。公司负责项目建设，承担项目负债，在特许经营期内自主运营、自负盈亏。收费价格实行政府定价。已建成投运项目的政府股权采取一事一议方式，通过公开招投标转让给投资人。投资人按股比分享项目收益。行业主管部门负责监管项目建设质量、运行安全。</w:t>
      </w:r>
    </w:p>
    <w:p>
      <w:pPr>
        <w:pStyle w:val="17"/>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lang w:val="en-US" w:eastAsia="zh-CN"/>
        </w:rPr>
        <w:t>．地方铁路。政府通过公开招投标或要约引入投资人，独资或合资成立项目公司。公司负责项目建设，承担项目负债，自主运营、自负盈亏。货运价格实行市场调节价，客运价格实行政府指导价。对起步初期有一定经营困难的项目，可适当配置土地资源以降低投资人风险，土地资源按既定的性质和用途开发。行业主管部门负责监管项目建设质量、运行安全。</w:t>
      </w:r>
    </w:p>
    <w:p>
      <w:pPr>
        <w:pStyle w:val="17"/>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lang w:val="en-US" w:eastAsia="zh-CN"/>
        </w:rPr>
        <w:t>．轨道交通。政府通过公开招投标或要约引入投资人，独资或合资成立项目公司。公司负责项目建设，承担项目负债，在特许经营期内负责项目运营、享受收益。独资项目，全部建设投资通过对价方式，由政府合理匹配上盖物业开发、土地等资源；合资项目，政府按协议出资并合理匹配上盖物业开发、土地等资源对价。对价资源由投资人按既定的性质和用途自主开发、自负盈亏，作为投资回报。项目运营通过“影子”票价覆盖运营全成本（包括人工费、运行费、折旧费等），与执行票价差额由财政购买服务补贴。行业主管部门负责监管项目建设和服务质量、运行安全，财政、物价部门负责核定“影子”票价，物价部门通过公开听证适时调整执行票价。</w:t>
      </w:r>
    </w:p>
    <w:p>
      <w:pPr>
        <w:pStyle w:val="17"/>
        <w:rPr>
          <w:rFonts w:hint="eastAsia" w:ascii="宋体" w:hAnsi="宋体" w:eastAsia="宋体" w:cs="宋体"/>
          <w:b/>
          <w:bCs/>
        </w:rPr>
      </w:pPr>
      <w:r>
        <w:rPr>
          <w:rFonts w:hint="eastAsia" w:ascii="宋体" w:hAnsi="宋体" w:eastAsia="宋体" w:cs="宋体"/>
          <w:b/>
          <w:bCs/>
          <w:lang w:val="en-US" w:eastAsia="zh-CN"/>
        </w:rPr>
        <w:t>（二）市政公共设施领域。</w:t>
      </w:r>
    </w:p>
    <w:p>
      <w:pPr>
        <w:pStyle w:val="17"/>
        <w:rPr>
          <w:rFonts w:hint="eastAsia" w:ascii="宋体" w:hAnsi="宋体" w:eastAsia="宋体" w:cs="宋体"/>
        </w:rPr>
      </w:pPr>
      <w:r>
        <w:rPr>
          <w:rFonts w:hint="eastAsia" w:ascii="宋体" w:hAnsi="宋体" w:eastAsia="宋体" w:cs="宋体"/>
          <w:lang w:val="en-US" w:eastAsia="zh-CN"/>
        </w:rPr>
        <w:t>包括城镇供水、污水处理、垃圾处理等项目。新建项目由政府通过公开招投标引入投资人，独资或合资成立项目公司。公司负责项目建设，承担项目负债，在特许经营期内开展运营、享受收益。已建成投运项目由政府通过公开招投标，引入投资人实行购买、委托、租赁运营。实行政府定价。污水垃圾处理通过财政购买服务补贴实现“保本微利”。行业主管部门负责监管项目建设质量、处理标准、运营安全。</w:t>
      </w:r>
    </w:p>
    <w:p>
      <w:pPr>
        <w:pStyle w:val="17"/>
        <w:rPr>
          <w:rFonts w:hint="eastAsia" w:ascii="宋体" w:hAnsi="宋体" w:eastAsia="宋体" w:cs="宋体"/>
          <w:b/>
          <w:bCs/>
        </w:rPr>
      </w:pPr>
      <w:r>
        <w:rPr>
          <w:rFonts w:hint="eastAsia" w:ascii="宋体" w:hAnsi="宋体" w:eastAsia="宋体" w:cs="宋体"/>
          <w:b/>
          <w:bCs/>
          <w:lang w:val="en-US" w:eastAsia="zh-CN"/>
        </w:rPr>
        <w:t>（三）土地整治开发领域。</w:t>
      </w:r>
    </w:p>
    <w:p>
      <w:pPr>
        <w:pStyle w:val="17"/>
        <w:rPr>
          <w:rFonts w:hint="eastAsia" w:ascii="宋体" w:hAnsi="宋体" w:eastAsia="宋体" w:cs="宋体"/>
        </w:rPr>
      </w:pPr>
      <w:r>
        <w:rPr>
          <w:rFonts w:hint="eastAsia" w:ascii="宋体" w:hAnsi="宋体" w:eastAsia="宋体" w:cs="宋体"/>
          <w:lang w:val="en-US" w:eastAsia="zh-CN"/>
        </w:rPr>
        <w:t>政府以土地整治成本和收益率为主要条件，通过公开招投标或要约引入投资人。投资人按约出资并进行土地整治，验收后交由国土部门按程序招拍挂出让。政府按约支付投资人土地整治成本及收益。可采取股份公司或施工总承包方式运作，土地整治成本（不含融资成本）和投资人收益计入土地招拍挂底价。投资人按约享受有限收益，不分享土地出让增值收益。行业主管部门负责制定整治标准，监管项目建设质量，财政、审计部门负责核定整治成本。</w:t>
      </w:r>
    </w:p>
    <w:p>
      <w:pPr>
        <w:pStyle w:val="17"/>
        <w:rPr>
          <w:rFonts w:hint="eastAsia" w:ascii="宋体" w:hAnsi="宋体" w:eastAsia="宋体" w:cs="宋体"/>
          <w:b/>
          <w:bCs/>
        </w:rPr>
      </w:pPr>
      <w:r>
        <w:rPr>
          <w:rFonts w:hint="eastAsia" w:ascii="宋体" w:hAnsi="宋体" w:eastAsia="宋体" w:cs="宋体"/>
          <w:b/>
          <w:bCs/>
          <w:lang w:val="en-US" w:eastAsia="zh-CN"/>
        </w:rPr>
        <w:t>（四）经营性社会事业设施领域。</w:t>
      </w:r>
    </w:p>
    <w:p>
      <w:pPr>
        <w:pStyle w:val="17"/>
        <w:rPr>
          <w:rFonts w:hint="eastAsia" w:ascii="宋体" w:hAnsi="宋体" w:eastAsia="宋体" w:cs="宋体"/>
        </w:rPr>
      </w:pPr>
      <w:r>
        <w:rPr>
          <w:rFonts w:hint="eastAsia" w:ascii="宋体" w:hAnsi="宋体" w:eastAsia="宋体" w:cs="宋体"/>
          <w:lang w:val="en-US" w:eastAsia="zh-CN"/>
        </w:rPr>
        <w:t>包括非义务教育、非基本医疗卫生、健康、养老、体育、文化产业等项目。政府按照区域功能和城市规划要求，编制项目布局规划，并明确项目规模及功能标准。新建项目，以特许经营方式通过公开招投标引入投资人组建项目公司，公司按规划和功能标准投资建设并开展运营、接受监督、享受收益。对政府投资已建成投运的项目，可在不改变原有服务功能的前提下，通过公开招投标引入投资人参与或受托管理。实行政府定价或政府指导价。对承担了公共服务功能的事项，政府给予同等的财政补贴。行业主管部门负责监管项目建设质量、运营安全、服务标准和服务质量。</w:t>
      </w:r>
    </w:p>
    <w:p>
      <w:pPr>
        <w:pStyle w:val="17"/>
        <w:rPr>
          <w:rFonts w:hint="eastAsia" w:ascii="宋体" w:hAnsi="宋体" w:eastAsia="宋体" w:cs="宋体"/>
          <w:b/>
          <w:bCs/>
        </w:rPr>
      </w:pPr>
      <w:r>
        <w:rPr>
          <w:rFonts w:hint="eastAsia" w:ascii="宋体" w:hAnsi="宋体" w:eastAsia="宋体" w:cs="宋体"/>
          <w:b/>
          <w:bCs/>
          <w:lang w:val="en-US" w:eastAsia="zh-CN"/>
        </w:rPr>
        <w:t>四、科学合理确定边界条件</w:t>
      </w:r>
    </w:p>
    <w:p>
      <w:pPr>
        <w:pStyle w:val="17"/>
        <w:rPr>
          <w:rFonts w:hint="eastAsia" w:ascii="宋体" w:hAnsi="宋体" w:eastAsia="宋体" w:cs="宋体"/>
        </w:rPr>
      </w:pPr>
      <w:r>
        <w:rPr>
          <w:rFonts w:hint="eastAsia" w:ascii="宋体" w:hAnsi="宋体" w:eastAsia="宋体" w:cs="宋体"/>
          <w:lang w:val="en-US" w:eastAsia="zh-CN"/>
        </w:rPr>
        <w:t>PPP</w:t>
      </w:r>
      <w:r>
        <w:rPr>
          <w:rFonts w:hint="eastAsia" w:ascii="宋体" w:hAnsi="宋体" w:eastAsia="宋体" w:cs="宋体"/>
          <w:lang w:val="en-US" w:eastAsia="zh-CN"/>
        </w:rPr>
        <w:t>投融资模式的关键之一是科学合理地确定边界条件。重点是对市场化的价格形成机制、公共产品的供给能力与服务水平保障机制、有效防控履约风险等做好制度安排。</w:t>
      </w:r>
    </w:p>
    <w:p>
      <w:pPr>
        <w:pStyle w:val="17"/>
        <w:rPr>
          <w:rFonts w:hint="eastAsia" w:ascii="宋体" w:hAnsi="宋体" w:eastAsia="宋体" w:cs="宋体"/>
        </w:rPr>
      </w:pPr>
      <w:r>
        <w:rPr>
          <w:rFonts w:hint="eastAsia" w:ascii="宋体" w:hAnsi="宋体" w:eastAsia="宋体" w:cs="宋体"/>
          <w:lang w:val="en-US" w:eastAsia="zh-CN"/>
        </w:rPr>
        <w:t>（一）市场定价。充分发挥价格对投资的引导作用，凡不属于政府定价目录的产品和服务，由项目法人自主定价、自负盈亏；凡属经营性公共产品或服务性质的，按照“成本</w:t>
      </w:r>
      <w:r>
        <w:rPr>
          <w:rFonts w:hint="eastAsia" w:ascii="宋体" w:hAnsi="宋体" w:eastAsia="宋体" w:cs="宋体"/>
          <w:lang w:val="en-US" w:eastAsia="zh-CN"/>
        </w:rPr>
        <w:t>+</w:t>
      </w:r>
      <w:r>
        <w:rPr>
          <w:rFonts w:hint="eastAsia" w:ascii="宋体" w:hAnsi="宋体" w:eastAsia="宋体" w:cs="宋体"/>
          <w:lang w:val="en-US" w:eastAsia="zh-CN"/>
        </w:rPr>
        <w:t>合理回报”原则确定政府定价或政府指导价。同时物价部门要做好价格监管工作，防止项目法人随意提价损害公共利益。</w:t>
      </w:r>
    </w:p>
    <w:p>
      <w:pPr>
        <w:pStyle w:val="17"/>
        <w:rPr>
          <w:rFonts w:hint="eastAsia" w:ascii="宋体" w:hAnsi="宋体" w:eastAsia="宋体" w:cs="宋体"/>
        </w:rPr>
      </w:pPr>
      <w:r>
        <w:rPr>
          <w:rFonts w:hint="eastAsia" w:ascii="宋体" w:hAnsi="宋体" w:eastAsia="宋体" w:cs="宋体"/>
          <w:lang w:val="en-US" w:eastAsia="zh-CN"/>
        </w:rPr>
        <w:t>（二）收费定价。注重产品或服务的公共属性，在收费政策允许范围内，根据地方经济社会发展实际和承受能力，合理制定收费标准，健全公共产品或服务收费的动态调整机制，逐步覆盖运营全成本，减少财政补贴。</w:t>
      </w:r>
    </w:p>
    <w:p>
      <w:pPr>
        <w:pStyle w:val="17"/>
        <w:rPr>
          <w:rFonts w:hint="eastAsia" w:ascii="宋体" w:hAnsi="宋体" w:eastAsia="宋体" w:cs="宋体"/>
        </w:rPr>
      </w:pPr>
      <w:r>
        <w:rPr>
          <w:rFonts w:hint="eastAsia" w:ascii="宋体" w:hAnsi="宋体" w:eastAsia="宋体" w:cs="宋体"/>
          <w:lang w:val="en-US" w:eastAsia="zh-CN"/>
        </w:rPr>
        <w:t>（三）财政补贴。对当前尚未达到市场化条件、政府核定的价格不足以弥补项目运营成本时，按照与投资人协议承诺和合同约定，财政通过购买服务方式对“影子”价格和协议产品或服务量不足部分给予补贴。“影子”价格或财政补贴标准均应通过公开招投标要约条件竞价确定。</w:t>
      </w:r>
    </w:p>
    <w:p>
      <w:pPr>
        <w:pStyle w:val="17"/>
        <w:rPr>
          <w:rFonts w:hint="eastAsia" w:ascii="宋体" w:hAnsi="宋体" w:eastAsia="宋体" w:cs="宋体"/>
        </w:rPr>
      </w:pPr>
      <w:r>
        <w:rPr>
          <w:rFonts w:hint="eastAsia" w:ascii="宋体" w:hAnsi="宋体" w:eastAsia="宋体" w:cs="宋体"/>
          <w:lang w:val="en-US" w:eastAsia="zh-CN"/>
        </w:rPr>
        <w:t>（四）资源配置。以土地开发收益作为投资来源或收益来源的，按照合同约定配置一定数量的土地进行对价。具体根据城市规划合理确定土地及上盖物业开发资源（容积率等条件），参照同期周边邻近地块平均楼面地价确定对价方式，以公开招投标要约条件竞价确定。</w:t>
      </w:r>
    </w:p>
    <w:p>
      <w:pPr>
        <w:pStyle w:val="17"/>
        <w:rPr>
          <w:rFonts w:hint="eastAsia" w:ascii="宋体" w:hAnsi="宋体" w:eastAsia="宋体" w:cs="宋体"/>
        </w:rPr>
      </w:pPr>
      <w:r>
        <w:rPr>
          <w:rFonts w:hint="eastAsia" w:ascii="宋体" w:hAnsi="宋体" w:eastAsia="宋体" w:cs="宋体"/>
          <w:lang w:val="en-US" w:eastAsia="zh-CN"/>
        </w:rPr>
        <w:t>（五）防止暴利。</w:t>
      </w:r>
      <w:r>
        <w:rPr>
          <w:rFonts w:hint="eastAsia" w:ascii="宋体" w:hAnsi="宋体" w:eastAsia="宋体" w:cs="宋体"/>
          <w:lang w:val="en-US" w:eastAsia="zh-CN"/>
        </w:rPr>
        <w:t>PPP</w:t>
      </w:r>
      <w:r>
        <w:rPr>
          <w:rFonts w:hint="eastAsia" w:ascii="宋体" w:hAnsi="宋体" w:eastAsia="宋体" w:cs="宋体"/>
          <w:lang w:val="en-US" w:eastAsia="zh-CN"/>
        </w:rPr>
        <w:t>投融资模式改革允许投资人获取合理收益，但对资源配置、开发增值类项目要防止出现暴利。投资人资金占用成本和收益合并计算，合理收益率原则上以银行贷款同期基准利率作为参考，对建设周期较长的项目可适当上浮作为限价，并通过招投标方式确定。对土地配置、有经营性收入的项目，应设立超过一定幅度后的溢价共享、亏损共担机制。</w:t>
      </w:r>
    </w:p>
    <w:p>
      <w:pPr>
        <w:pStyle w:val="17"/>
        <w:rPr>
          <w:rFonts w:hint="eastAsia" w:ascii="宋体" w:hAnsi="宋体" w:eastAsia="宋体" w:cs="宋体"/>
          <w:b/>
          <w:bCs/>
        </w:rPr>
      </w:pPr>
      <w:r>
        <w:rPr>
          <w:rFonts w:hint="eastAsia" w:ascii="宋体" w:hAnsi="宋体" w:eastAsia="宋体" w:cs="宋体"/>
          <w:b/>
          <w:bCs/>
          <w:lang w:val="en-US" w:eastAsia="zh-CN"/>
        </w:rPr>
        <w:t>五、规范审批和加强监管</w:t>
      </w:r>
    </w:p>
    <w:p>
      <w:pPr>
        <w:pStyle w:val="17"/>
        <w:rPr>
          <w:rFonts w:hint="eastAsia" w:ascii="宋体" w:hAnsi="宋体" w:eastAsia="宋体" w:cs="宋体"/>
        </w:rPr>
      </w:pPr>
      <w:r>
        <w:rPr>
          <w:rFonts w:hint="eastAsia" w:ascii="宋体" w:hAnsi="宋体" w:eastAsia="宋体" w:cs="宋体"/>
          <w:lang w:val="en-US" w:eastAsia="zh-CN"/>
        </w:rPr>
        <w:t>（一）规范投融资方案和合约文本编制。</w:t>
      </w:r>
      <w:r>
        <w:rPr>
          <w:rFonts w:hint="eastAsia" w:ascii="宋体" w:hAnsi="宋体" w:eastAsia="宋体" w:cs="宋体"/>
          <w:lang w:val="en-US" w:eastAsia="zh-CN"/>
        </w:rPr>
        <w:t>PPP</w:t>
      </w:r>
      <w:r>
        <w:rPr>
          <w:rFonts w:hint="eastAsia" w:ascii="宋体" w:hAnsi="宋体" w:eastAsia="宋体" w:cs="宋体"/>
          <w:lang w:val="en-US" w:eastAsia="zh-CN"/>
        </w:rPr>
        <w:t>投融资方案应包括投资人资质和条件、技术或服务要求及标准、期限和范围、招标或要约条件、投资人收益率和价格测算、回报来源和支付方式、监管方式和条件、政府配套设施和服务承诺、法律关系和地位等重点内容。制定相关领域</w:t>
      </w:r>
      <w:r>
        <w:rPr>
          <w:rFonts w:hint="eastAsia" w:ascii="宋体" w:hAnsi="宋体" w:eastAsia="宋体" w:cs="宋体"/>
          <w:lang w:val="en-US" w:eastAsia="zh-CN"/>
        </w:rPr>
        <w:t>PPP</w:t>
      </w:r>
      <w:r>
        <w:rPr>
          <w:rFonts w:hint="eastAsia" w:ascii="宋体" w:hAnsi="宋体" w:eastAsia="宋体" w:cs="宋体"/>
          <w:lang w:val="en-US" w:eastAsia="zh-CN"/>
        </w:rPr>
        <w:t>标准合约文本，在完成招标确定投资人后，投融资方案重点内容均应进入合约文本。投融资方案和合约制定过程中，应引入第三方中介机构、法律顾问开展评估、参与讨论，为投资决策提供参考。</w:t>
      </w:r>
    </w:p>
    <w:p>
      <w:pPr>
        <w:pStyle w:val="17"/>
        <w:rPr>
          <w:rFonts w:hint="eastAsia" w:ascii="宋体" w:hAnsi="宋体" w:eastAsia="宋体" w:cs="宋体"/>
        </w:rPr>
      </w:pPr>
      <w:r>
        <w:rPr>
          <w:rFonts w:hint="eastAsia" w:ascii="宋体" w:hAnsi="宋体" w:eastAsia="宋体" w:cs="宋体"/>
          <w:lang w:val="en-US" w:eastAsia="zh-CN"/>
        </w:rPr>
        <w:t>（二）规范项目审查审批。对高速公路、市政公共设施等原有模式较为成熟的项目，</w:t>
      </w:r>
      <w:r>
        <w:rPr>
          <w:rFonts w:hint="eastAsia" w:ascii="宋体" w:hAnsi="宋体" w:eastAsia="宋体" w:cs="宋体"/>
          <w:lang w:val="en-US" w:eastAsia="zh-CN"/>
        </w:rPr>
        <w:t>PPP</w:t>
      </w:r>
      <w:r>
        <w:rPr>
          <w:rFonts w:hint="eastAsia" w:ascii="宋体" w:hAnsi="宋体" w:eastAsia="宋体" w:cs="宋体"/>
          <w:lang w:val="en-US" w:eastAsia="zh-CN"/>
        </w:rPr>
        <w:t>投融资方案按原渠道审查审批。对涉及资源配置的土地整治开发、轨道交通、地方铁路等项目，</w:t>
      </w:r>
      <w:r>
        <w:rPr>
          <w:rFonts w:hint="eastAsia" w:ascii="宋体" w:hAnsi="宋体" w:eastAsia="宋体" w:cs="宋体"/>
          <w:lang w:val="en-US" w:eastAsia="zh-CN"/>
        </w:rPr>
        <w:t>PPP</w:t>
      </w:r>
      <w:r>
        <w:rPr>
          <w:rFonts w:hint="eastAsia" w:ascii="宋体" w:hAnsi="宋体" w:eastAsia="宋体" w:cs="宋体"/>
          <w:lang w:val="en-US" w:eastAsia="zh-CN"/>
        </w:rPr>
        <w:t>投融资方案由项目发起人（政府指定部门或投资主体）细化提出，按照一事一议方式，市政府行业主管部门初审，市发展改革委会同市财政局、市国资委等有关部门审核，报市政府审议后执行。区县（自治县）土地整治开发等项目</w:t>
      </w:r>
      <w:r>
        <w:rPr>
          <w:rFonts w:hint="eastAsia" w:ascii="宋体" w:hAnsi="宋体" w:eastAsia="宋体" w:cs="宋体"/>
          <w:lang w:val="en-US" w:eastAsia="zh-CN"/>
        </w:rPr>
        <w:t>PPP</w:t>
      </w:r>
      <w:r>
        <w:rPr>
          <w:rFonts w:hint="eastAsia" w:ascii="宋体" w:hAnsi="宋体" w:eastAsia="宋体" w:cs="宋体"/>
          <w:lang w:val="en-US" w:eastAsia="zh-CN"/>
        </w:rPr>
        <w:t>投融资方案由市发展改革委牵头审查，报经市政府同意后审批；其他类别项目，在试点工作结束后，由区县（自治县）政府参照前述原则审查审批。</w:t>
      </w:r>
    </w:p>
    <w:p>
      <w:pPr>
        <w:pStyle w:val="17"/>
        <w:rPr>
          <w:rFonts w:hint="eastAsia" w:ascii="宋体" w:hAnsi="宋体" w:eastAsia="宋体" w:cs="宋体"/>
        </w:rPr>
      </w:pPr>
      <w:r>
        <w:rPr>
          <w:rFonts w:hint="eastAsia" w:ascii="宋体" w:hAnsi="宋体" w:eastAsia="宋体" w:cs="宋体"/>
          <w:lang w:val="en-US" w:eastAsia="zh-CN"/>
        </w:rPr>
        <w:t>（三）规范招投标管理。</w:t>
      </w:r>
      <w:r>
        <w:rPr>
          <w:rFonts w:hint="eastAsia" w:ascii="宋体" w:hAnsi="宋体" w:eastAsia="宋体" w:cs="宋体"/>
          <w:lang w:val="en-US" w:eastAsia="zh-CN"/>
        </w:rPr>
        <w:t>PPP</w:t>
      </w:r>
      <w:r>
        <w:rPr>
          <w:rFonts w:hint="eastAsia" w:ascii="宋体" w:hAnsi="宋体" w:eastAsia="宋体" w:cs="宋体"/>
          <w:lang w:val="en-US" w:eastAsia="zh-CN"/>
        </w:rPr>
        <w:t>投融资方案涉及的投资人引入及资产或股权转让、出售等，按项目属性分类进入联合产权交易所、土地使用权和矿业权交易中心、工程招投标交易中心等交易场所公开、公平、公正竞价进行。对采取竞争性谈判或要约方式的，应测算对价资源配置、“影子”价格、财政补贴等主要条件，并进入交易所让市场发现价格。交易流程、交易规则、监管办法统一制定，由行政监管部门加强监督。同时优化程序、简化环节，以投资概算或融资方案批复作为招投标限价，不重复审查。凡中标的投资人能够自行建设、生产或提供的合格产品，可不再单独招投标。</w:t>
      </w:r>
    </w:p>
    <w:p>
      <w:pPr>
        <w:pStyle w:val="17"/>
        <w:rPr>
          <w:rFonts w:hint="eastAsia" w:ascii="宋体" w:hAnsi="宋体" w:eastAsia="宋体" w:cs="宋体"/>
        </w:rPr>
      </w:pPr>
      <w:r>
        <w:rPr>
          <w:rFonts w:hint="eastAsia" w:ascii="宋体" w:hAnsi="宋体" w:eastAsia="宋体" w:cs="宋体"/>
          <w:lang w:val="en-US" w:eastAsia="zh-CN"/>
        </w:rPr>
        <w:t>（四）加强全程跟踪监管。加强项目建设质量和标准、运营标准和安全的监督，保障公共安全，确保公共产品或服务供给的质量、效率和延续性。加强项目建设造价和运营成本监控，委托中介机构开展建设全过程造价跟踪审计、运营收支全过程跟踪审计。加强项目账户监管，投资人投入资金一律进入资金专户或共同监管账户进行管理和拨付。加强多方监管，畅通公众获取和反馈有关信息的渠道。加强绩效考评，健全完善正常、规范的退出机制和风险管控机制，对投资人未能如约、按量、按质提供公共产品或服务的，投资人必须按合约规定及时退出并依法赔偿。严格责任追究，对违法违规操作</w:t>
      </w:r>
      <w:r>
        <w:rPr>
          <w:rFonts w:hint="eastAsia" w:ascii="宋体" w:hAnsi="宋体" w:eastAsia="宋体" w:cs="宋体"/>
          <w:lang w:val="en-US" w:eastAsia="zh-CN"/>
        </w:rPr>
        <w:t>PPP</w:t>
      </w:r>
      <w:r>
        <w:rPr>
          <w:rFonts w:hint="eastAsia" w:ascii="宋体" w:hAnsi="宋体" w:eastAsia="宋体" w:cs="宋体"/>
          <w:lang w:val="en-US" w:eastAsia="zh-CN"/>
        </w:rPr>
        <w:t>投融资模式的，上级行政主管部门、纪检监察部门应责令限期改正，并对相关责任人员依法依纪处理。</w:t>
      </w:r>
    </w:p>
    <w:p>
      <w:pPr>
        <w:pStyle w:val="17"/>
        <w:rPr>
          <w:rFonts w:hint="eastAsia" w:ascii="宋体" w:hAnsi="宋体" w:eastAsia="宋体" w:cs="宋体"/>
        </w:rPr>
      </w:pPr>
      <w:r>
        <w:rPr>
          <w:rFonts w:hint="eastAsia" w:ascii="宋体" w:hAnsi="宋体" w:eastAsia="宋体" w:cs="宋体"/>
          <w:lang w:val="en-US" w:eastAsia="zh-CN"/>
        </w:rPr>
        <w:t>（五）做好试点总结工作。在法律法规及边界条件设计的制度框架内，积极稳妥有序开展试点。近期，优先在市级层面的土地整治开发、轨道交通、市郊铁路等现金流稳定、资源能平衡的领域，形成试点方案并加快推进；选择若干有条件的区县（自治县）开展试点，市级有关部门加强指导和监督。在试点成功后，及时总结经验，逐渐向全市推开。同时完善我市相关特许经营权管理办法，为地方立法做好相应准备。</w:t>
      </w:r>
    </w:p>
    <w:p>
      <w:pPr>
        <w:pStyle w:val="17"/>
        <w:rPr>
          <w:rFonts w:hint="eastAsia" w:ascii="宋体" w:hAnsi="宋体" w:eastAsia="宋体" w:cs="宋体"/>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826101C"/>
    <w:rsid w:val="083B2E68"/>
    <w:rsid w:val="08673D2A"/>
    <w:rsid w:val="172E5427"/>
    <w:rsid w:val="17EE545F"/>
    <w:rsid w:val="198860F9"/>
    <w:rsid w:val="1B0A3499"/>
    <w:rsid w:val="2182268D"/>
    <w:rsid w:val="24EC5364"/>
    <w:rsid w:val="251865EA"/>
    <w:rsid w:val="275012D1"/>
    <w:rsid w:val="28461F24"/>
    <w:rsid w:val="36EA50A7"/>
    <w:rsid w:val="37C1347B"/>
    <w:rsid w:val="39E113F5"/>
    <w:rsid w:val="3B2F6EF7"/>
    <w:rsid w:val="3CDF67F3"/>
    <w:rsid w:val="3D9A530C"/>
    <w:rsid w:val="41193F13"/>
    <w:rsid w:val="4B4F1F4F"/>
    <w:rsid w:val="4D765109"/>
    <w:rsid w:val="4EFF5BB2"/>
    <w:rsid w:val="572040A1"/>
    <w:rsid w:val="5CEA6EFD"/>
    <w:rsid w:val="5FFD6D65"/>
    <w:rsid w:val="6080698E"/>
    <w:rsid w:val="64013AF7"/>
    <w:rsid w:val="65A31D7F"/>
    <w:rsid w:val="6C7675A4"/>
    <w:rsid w:val="70283050"/>
    <w:rsid w:val="71A242AF"/>
    <w:rsid w:val="72F907FB"/>
    <w:rsid w:val="7584598A"/>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style>
  <w:style w:type="character" w:styleId="7">
    <w:name w:val="FollowedHyperlink"/>
    <w:basedOn w:val="5"/>
    <w:qFormat/>
    <w:uiPriority w:val="0"/>
    <w:rPr>
      <w:color w:val="607FA6"/>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607FA6"/>
      <w:u w:val="none"/>
    </w:rPr>
  </w:style>
  <w:style w:type="character" w:styleId="12">
    <w:name w:val="HTML Code"/>
    <w:basedOn w:val="5"/>
    <w:qFormat/>
    <w:uiPriority w:val="0"/>
    <w:rPr>
      <w:rFonts w:ascii="Menlo" w:hAnsi="Menlo" w:eastAsia="Menlo" w:cs="Menlo"/>
      <w:color w:val="C7254E"/>
      <w:sz w:val="21"/>
      <w:szCs w:val="21"/>
      <w:shd w:val="clear" w:fill="F9F2F4"/>
    </w:rPr>
  </w:style>
  <w:style w:type="character" w:styleId="13">
    <w:name w:val="HTML Cite"/>
    <w:basedOn w:val="5"/>
    <w:qFormat/>
    <w:uiPriority w:val="0"/>
  </w:style>
  <w:style w:type="character" w:styleId="14">
    <w:name w:val="HTML Keyboard"/>
    <w:basedOn w:val="5"/>
    <w:qFormat/>
    <w:uiPriority w:val="0"/>
    <w:rPr>
      <w:rFonts w:hint="default" w:ascii="Menlo" w:hAnsi="Menlo" w:eastAsia="Menlo" w:cs="Menlo"/>
      <w:color w:val="FFFFFF"/>
      <w:sz w:val="21"/>
      <w:szCs w:val="21"/>
      <w:shd w:val="clear" w:fill="333333"/>
    </w:rPr>
  </w:style>
  <w:style w:type="character" w:styleId="15">
    <w:name w:val="HTML Sample"/>
    <w:basedOn w:val="5"/>
    <w:qFormat/>
    <w:uiPriority w:val="0"/>
    <w:rPr>
      <w:rFonts w:hint="default" w:ascii="Menlo" w:hAnsi="Menlo" w:eastAsia="Menlo" w:cs="Menlo"/>
      <w:sz w:val="21"/>
      <w:szCs w:val="21"/>
    </w:rPr>
  </w:style>
  <w:style w:type="paragraph" w:customStyle="1" w:styleId="17">
    <w:name w:val="样式1"/>
    <w:basedOn w:val="1"/>
    <w:qFormat/>
    <w:uiPriority w:val="0"/>
    <w:pPr>
      <w:spacing w:before="10"/>
      <w:ind w:firstLine="420" w:firstLineChars="200"/>
    </w:pPr>
    <w:rPr>
      <w:rFonts w:asciiTheme="minorAscii" w:hAnsiTheme="minorAscii"/>
    </w:rPr>
  </w:style>
  <w:style w:type="character" w:customStyle="1" w:styleId="18">
    <w:name w:val="css_blue1"/>
    <w:basedOn w:val="5"/>
    <w:qFormat/>
    <w:uiPriority w:val="0"/>
    <w:rPr>
      <w:color w:val="4A81A8"/>
      <w:sz w:val="21"/>
      <w:szCs w:val="21"/>
    </w:rPr>
  </w:style>
  <w:style w:type="character" w:customStyle="1" w:styleId="19">
    <w:name w:val="rich_media_meta_nickname"/>
    <w:basedOn w:val="5"/>
    <w:qFormat/>
    <w:uiPriority w:val="0"/>
    <w:rPr>
      <w:vanish/>
    </w:rPr>
  </w:style>
  <w:style w:type="character" w:customStyle="1" w:styleId="20">
    <w:name w:val="rich_media_meta_nickname1"/>
    <w:basedOn w:val="5"/>
    <w:qFormat/>
    <w:uiPriority w:val="0"/>
  </w:style>
  <w:style w:type="character" w:customStyle="1" w:styleId="21">
    <w:name w:val="tz_input"/>
    <w:basedOn w:val="5"/>
    <w:qFormat/>
    <w:uiPriority w:val="0"/>
    <w:rPr>
      <w:color w:val="A01211"/>
      <w:sz w:val="24"/>
      <w:szCs w:val="24"/>
    </w:rPr>
  </w:style>
  <w:style w:type="character" w:customStyle="1" w:styleId="22">
    <w:name w:val="bg01"/>
    <w:basedOn w:val="5"/>
    <w:qFormat/>
    <w:uiPriority w:val="0"/>
  </w:style>
  <w:style w:type="character" w:customStyle="1" w:styleId="23">
    <w:name w:val="m01"/>
    <w:basedOn w:val="5"/>
    <w:qFormat/>
    <w:uiPriority w:val="0"/>
  </w:style>
  <w:style w:type="character" w:customStyle="1" w:styleId="24">
    <w:name w:val="m011"/>
    <w:basedOn w:val="5"/>
    <w:qFormat/>
    <w:uiPriority w:val="0"/>
  </w:style>
  <w:style w:type="character" w:customStyle="1" w:styleId="25">
    <w:name w:val="font"/>
    <w:basedOn w:val="5"/>
    <w:qFormat/>
    <w:uiPriority w:val="0"/>
  </w:style>
  <w:style w:type="character" w:customStyle="1" w:styleId="26">
    <w:name w:val="font1"/>
    <w:basedOn w:val="5"/>
    <w:qFormat/>
    <w:uiPriority w:val="0"/>
  </w:style>
  <w:style w:type="character" w:customStyle="1" w:styleId="27">
    <w:name w:val="bg02"/>
    <w:basedOn w:val="5"/>
    <w:qFormat/>
    <w:uiPriority w:val="0"/>
  </w:style>
  <w:style w:type="character" w:customStyle="1" w:styleId="28">
    <w:name w:val="tabg"/>
    <w:basedOn w:val="5"/>
    <w:qFormat/>
    <w:uiPriority w:val="0"/>
    <w:rPr>
      <w:color w:val="FFFFFF"/>
      <w:sz w:val="27"/>
      <w:szCs w:val="27"/>
    </w:rPr>
  </w:style>
  <w:style w:type="character" w:customStyle="1" w:styleId="29">
    <w:name w:val="more4"/>
    <w:basedOn w:val="5"/>
    <w:qFormat/>
    <w:uiPriority w:val="0"/>
    <w:rPr>
      <w:color w:val="666666"/>
      <w:sz w:val="18"/>
      <w:szCs w:val="18"/>
    </w:rPr>
  </w:style>
  <w:style w:type="character" w:customStyle="1" w:styleId="30">
    <w:name w:val="gwds_nopic"/>
    <w:basedOn w:val="5"/>
    <w:qFormat/>
    <w:uiPriority w:val="0"/>
  </w:style>
  <w:style w:type="character" w:customStyle="1" w:styleId="31">
    <w:name w:val="gwds_nopic1"/>
    <w:basedOn w:val="5"/>
    <w:qFormat/>
    <w:uiPriority w:val="0"/>
  </w:style>
  <w:style w:type="character" w:customStyle="1" w:styleId="32">
    <w:name w:val="gwds_nopic2"/>
    <w:basedOn w:val="5"/>
    <w:qFormat/>
    <w:uiPriority w:val="0"/>
  </w:style>
  <w:style w:type="character" w:customStyle="1" w:styleId="33">
    <w:name w:val="bds_more4"/>
    <w:basedOn w:val="5"/>
    <w:qFormat/>
    <w:uiPriority w:val="0"/>
  </w:style>
  <w:style w:type="character" w:customStyle="1" w:styleId="34">
    <w:name w:val="bds_nopic"/>
    <w:basedOn w:val="5"/>
    <w:qFormat/>
    <w:uiPriority w:val="0"/>
  </w:style>
  <w:style w:type="character" w:customStyle="1" w:styleId="35">
    <w:name w:val="bds_nopic1"/>
    <w:basedOn w:val="5"/>
    <w:qFormat/>
    <w:uiPriority w:val="0"/>
  </w:style>
  <w:style w:type="character" w:customStyle="1" w:styleId="36">
    <w:name w:val="bds_nopic2"/>
    <w:basedOn w:val="5"/>
    <w:qFormat/>
    <w:uiPriority w:val="0"/>
  </w:style>
  <w:style w:type="character" w:customStyle="1" w:styleId="37">
    <w:name w:val="bds_more3"/>
    <w:basedOn w:val="5"/>
    <w:qFormat/>
    <w:uiPriority w:val="0"/>
    <w:rPr>
      <w:rFonts w:hint="eastAsia" w:ascii="宋体" w:hAnsi="宋体" w:eastAsia="宋体" w:cs="宋体"/>
    </w:rPr>
  </w:style>
  <w:style w:type="character" w:customStyle="1" w:styleId="38">
    <w:name w:val="bds_more5"/>
    <w:basedOn w:val="5"/>
    <w:qFormat/>
    <w:uiPriority w:val="0"/>
  </w:style>
  <w:style w:type="character" w:customStyle="1" w:styleId="39">
    <w:name w:val="on"/>
    <w:basedOn w:val="5"/>
    <w:qFormat/>
    <w:uiPriority w:val="0"/>
    <w:rPr>
      <w:color w:val="FFFFFF"/>
    </w:rPr>
  </w:style>
  <w:style w:type="character" w:customStyle="1" w:styleId="40">
    <w:name w:val="cur"/>
    <w:basedOn w:val="5"/>
    <w:qFormat/>
    <w:uiPriority w:val="0"/>
    <w:rPr>
      <w:b/>
    </w:rPr>
  </w:style>
  <w:style w:type="character" w:customStyle="1" w:styleId="41">
    <w:name w:val="cur1"/>
    <w:basedOn w:val="5"/>
    <w:qFormat/>
    <w:uiPriority w:val="0"/>
    <w:rPr>
      <w:b/>
    </w:rPr>
  </w:style>
  <w:style w:type="character" w:customStyle="1" w:styleId="42">
    <w:name w:val="cur2"/>
    <w:basedOn w:val="5"/>
    <w:qFormat/>
    <w:uiPriority w:val="0"/>
    <w:rPr>
      <w:shd w:val="clear" w:fill="FF0000"/>
    </w:rPr>
  </w:style>
  <w:style w:type="character" w:customStyle="1" w:styleId="43">
    <w:name w:val="normal"/>
    <w:basedOn w:val="5"/>
    <w:qFormat/>
    <w:uiPriority w:val="0"/>
    <w:rPr>
      <w:color w:val="FFFFFF"/>
    </w:rPr>
  </w:style>
  <w:style w:type="character" w:customStyle="1" w:styleId="44">
    <w:name w:val="normal1"/>
    <w:basedOn w:val="5"/>
    <w:qFormat/>
    <w:uiPriority w:val="0"/>
    <w:rPr>
      <w:color w:val="FFFFFF"/>
    </w:rPr>
  </w:style>
  <w:style w:type="character" w:customStyle="1" w:styleId="45">
    <w:name w:val="normal2"/>
    <w:basedOn w:val="5"/>
    <w:qFormat/>
    <w:uiPriority w:val="0"/>
    <w:rPr>
      <w:color w:val="000000"/>
    </w:rPr>
  </w:style>
  <w:style w:type="character" w:customStyle="1" w:styleId="46">
    <w:name w:val="more"/>
    <w:basedOn w:val="5"/>
    <w:qFormat/>
    <w:uiPriority w:val="0"/>
    <w:rPr>
      <w:color w:val="666666"/>
      <w:sz w:val="18"/>
      <w:szCs w:val="18"/>
    </w:rPr>
  </w:style>
  <w:style w:type="character" w:customStyle="1" w:styleId="47">
    <w:name w:val="tn-zhishi"/>
    <w:basedOn w:val="5"/>
    <w:qFormat/>
    <w:uiPriority w:val="0"/>
    <w:rPr>
      <w:shd w:val="clear" w:fill="8B6124"/>
    </w:rPr>
  </w:style>
  <w:style w:type="character" w:customStyle="1" w:styleId="48">
    <w:name w:val="hover57"/>
    <w:basedOn w:val="5"/>
    <w:qFormat/>
    <w:uiPriority w:val="0"/>
    <w:rPr>
      <w:shd w:val="clear" w:fill="F3F3F3"/>
    </w:rPr>
  </w:style>
  <w:style w:type="character" w:customStyle="1" w:styleId="49">
    <w:name w:val="hover58"/>
    <w:basedOn w:val="5"/>
    <w:qFormat/>
    <w:uiPriority w:val="0"/>
    <w:rPr>
      <w:shd w:val="clear" w:fill="F3F3F3"/>
    </w:rPr>
  </w:style>
  <w:style w:type="character" w:customStyle="1" w:styleId="50">
    <w:name w:val="hover59"/>
    <w:basedOn w:val="5"/>
    <w:qFormat/>
    <w:uiPriority w:val="0"/>
    <w:rPr>
      <w:shd w:val="clear" w:fill="F3F3F3"/>
    </w:rPr>
  </w:style>
  <w:style w:type="character" w:customStyle="1" w:styleId="51">
    <w:name w:val="hover60"/>
    <w:basedOn w:val="5"/>
    <w:qFormat/>
    <w:uiPriority w:val="0"/>
    <w:rPr>
      <w:shd w:val="clear" w:fill="F3F3F3"/>
    </w:rPr>
  </w:style>
  <w:style w:type="character" w:customStyle="1" w:styleId="52">
    <w:name w:val="tn-fuwu"/>
    <w:basedOn w:val="5"/>
    <w:qFormat/>
    <w:uiPriority w:val="0"/>
    <w:rPr>
      <w:shd w:val="clear" w:fill="DA5026"/>
    </w:rPr>
  </w:style>
  <w:style w:type="character" w:customStyle="1" w:styleId="53">
    <w:name w:val="tn-jingpin"/>
    <w:basedOn w:val="5"/>
    <w:qFormat/>
    <w:uiPriority w:val="0"/>
    <w:rPr>
      <w:shd w:val="clear" w:fill="1D79B7"/>
    </w:rPr>
  </w:style>
  <w:style w:type="character" w:customStyle="1" w:styleId="54">
    <w:name w:val="tn-diqu"/>
    <w:basedOn w:val="5"/>
    <w:qFormat/>
    <w:uiPriority w:val="0"/>
    <w:rPr>
      <w:shd w:val="clear" w:fill="669330"/>
    </w:rPr>
  </w:style>
  <w:style w:type="character" w:customStyle="1" w:styleId="55">
    <w:name w:val="bds_more"/>
    <w:basedOn w:val="5"/>
    <w:qFormat/>
    <w:uiPriority w:val="0"/>
    <w:rPr>
      <w:rFonts w:hint="eastAsia" w:ascii="宋体" w:hAnsi="宋体" w:eastAsia="宋体" w:cs="宋体"/>
    </w:rPr>
  </w:style>
  <w:style w:type="character" w:customStyle="1" w:styleId="56">
    <w:name w:val="bds_more1"/>
    <w:basedOn w:val="5"/>
    <w:qFormat/>
    <w:uiPriority w:val="0"/>
  </w:style>
  <w:style w:type="character" w:customStyle="1" w:styleId="57">
    <w:name w:val="bds_more2"/>
    <w:basedOn w:val="5"/>
    <w:qFormat/>
    <w:uiPriority w:val="0"/>
  </w:style>
  <w:style w:type="paragraph" w:customStyle="1" w:styleId="58">
    <w:name w:val="pbj"/>
    <w:basedOn w:val="1"/>
    <w:qFormat/>
    <w:uiPriority w:val="0"/>
    <w:pPr>
      <w:jc w:val="left"/>
    </w:pPr>
    <w:rPr>
      <w:kern w:val="0"/>
      <w:lang w:val="en-US" w:eastAsia="zh-CN" w:bidi="ar"/>
    </w:rPr>
  </w:style>
  <w:style w:type="character" w:customStyle="1" w:styleId="59">
    <w:name w:val="time"/>
    <w:basedOn w:val="5"/>
    <w:qFormat/>
    <w:uiPriority w:val="0"/>
    <w:rPr>
      <w:color w:val="777777"/>
    </w:rPr>
  </w:style>
  <w:style w:type="character" w:customStyle="1" w:styleId="60">
    <w:name w:val="onselect"/>
    <w:basedOn w:val="5"/>
    <w:qFormat/>
    <w:uiPriority w:val="0"/>
    <w:rPr>
      <w:shd w:val="clear" w:fill="FF0000"/>
    </w:rPr>
  </w:style>
  <w:style w:type="character" w:customStyle="1" w:styleId="61">
    <w:name w:val="hover17"/>
    <w:basedOn w:val="5"/>
    <w:qFormat/>
    <w:uiPriority w:val="0"/>
    <w:rPr>
      <w:color w:val="FFFFFF"/>
      <w:shd w:val="clear" w:fill="F9AC00"/>
    </w:rPr>
  </w:style>
  <w:style w:type="character" w:customStyle="1" w:styleId="62">
    <w:name w:val="keyword"/>
    <w:basedOn w:val="5"/>
    <w:qFormat/>
    <w:uiPriority w:val="0"/>
    <w:rPr>
      <w:color w:val="FF0000"/>
    </w:rPr>
  </w:style>
  <w:style w:type="character" w:customStyle="1" w:styleId="63">
    <w:name w:val="more-zereo"/>
    <w:basedOn w:val="5"/>
    <w:qFormat/>
    <w:uiPriority w:val="0"/>
    <w:rPr>
      <w:color w:val="EB0F0A"/>
    </w:rPr>
  </w:style>
  <w:style w:type="character" w:customStyle="1" w:styleId="64">
    <w:name w:val="hover14"/>
    <w:basedOn w:val="5"/>
    <w:qFormat/>
    <w:uiPriority w:val="0"/>
    <w:rPr>
      <w:color w:val="FFFFFF"/>
      <w:shd w:val="clear" w:fill="F9AC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2016-08-08T07:05:18Z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