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jc w:val="center"/>
        <w:rPr>
          <w:rFonts w:hint="eastAsia" w:ascii="宋体" w:hAnsi="宋体" w:eastAsia="宋体" w:cs="宋体"/>
          <w:b/>
          <w:bCs/>
        </w:rPr>
      </w:pPr>
      <w:bookmarkStart w:id="0" w:name="_GoBack"/>
      <w:r>
        <w:rPr>
          <w:rFonts w:hint="eastAsia" w:ascii="宋体" w:hAnsi="宋体" w:eastAsia="宋体" w:cs="宋体"/>
          <w:b/>
          <w:bCs/>
        </w:rPr>
        <w:t>福建省人民政府关于推广政府和社会资本合作（PPP）试点的指导意见</w:t>
      </w:r>
    </w:p>
    <w:bookmarkEnd w:id="0"/>
    <w:p>
      <w:pPr>
        <w:pStyle w:val="17"/>
        <w:jc w:val="center"/>
        <w:rPr>
          <w:rFonts w:hint="eastAsia" w:ascii="宋体" w:hAnsi="宋体" w:eastAsia="宋体" w:cs="宋体"/>
          <w:b/>
          <w:bCs/>
        </w:rPr>
      </w:pPr>
      <w:r>
        <w:rPr>
          <w:rFonts w:hint="eastAsia" w:ascii="宋体" w:hAnsi="宋体" w:eastAsia="宋体" w:cs="宋体"/>
          <w:b/>
          <w:bCs/>
          <w:lang w:val="en-US" w:eastAsia="zh-CN"/>
        </w:rPr>
        <w:t>闽政〔</w:t>
      </w:r>
      <w:r>
        <w:rPr>
          <w:rFonts w:hint="eastAsia" w:ascii="宋体" w:hAnsi="宋体" w:eastAsia="宋体" w:cs="宋体"/>
          <w:b/>
          <w:bCs/>
          <w:lang w:val="en-US" w:eastAsia="zh-CN"/>
        </w:rPr>
        <w:t>2014〕47 号</w:t>
      </w:r>
    </w:p>
    <w:p>
      <w:pPr>
        <w:pStyle w:val="17"/>
        <w:rPr>
          <w:rFonts w:hint="eastAsia" w:ascii="宋体" w:hAnsi="宋体" w:eastAsia="宋体" w:cs="宋体"/>
        </w:rPr>
      </w:pPr>
      <w:r>
        <w:rPr>
          <w:rFonts w:hint="eastAsia" w:ascii="宋体" w:hAnsi="宋体" w:eastAsia="宋体" w:cs="宋体"/>
          <w:lang w:val="en-US" w:eastAsia="zh-CN"/>
        </w:rPr>
        <w:t>各市、县(区)人民政府，平潭综合实验区管委会，省人民政府各部门、各直属机构，各大企业，各高等院校：</w:t>
      </w:r>
    </w:p>
    <w:p>
      <w:pPr>
        <w:pStyle w:val="17"/>
        <w:rPr>
          <w:rFonts w:hint="eastAsia" w:ascii="宋体" w:hAnsi="宋体" w:eastAsia="宋体" w:cs="宋体"/>
        </w:rPr>
      </w:pPr>
      <w:r>
        <w:rPr>
          <w:rFonts w:hint="eastAsia" w:ascii="宋体" w:hAnsi="宋体" w:eastAsia="宋体" w:cs="宋体"/>
          <w:lang w:val="en-US" w:eastAsia="zh-CN"/>
        </w:rPr>
        <w:t>根据党的十八届三中全会关于允许社会资本通过特许经营等方式参与城市基础设施投资和运营的精神，在加强监管、规范运作的前提下，在全省开展政府和社会资本合作（Public－Private－Partnership，以下简称PPP）试点，扩大基础设施和公用事业建设的投融资渠道，提高公共产品供给质量和效率，现提出以下指导意见。</w:t>
      </w:r>
    </w:p>
    <w:p>
      <w:pPr>
        <w:pStyle w:val="17"/>
        <w:rPr>
          <w:rFonts w:hint="eastAsia" w:ascii="宋体" w:hAnsi="宋体" w:eastAsia="宋体" w:cs="宋体"/>
          <w:b/>
          <w:bCs/>
        </w:rPr>
      </w:pPr>
      <w:r>
        <w:rPr>
          <w:rFonts w:hint="eastAsia" w:ascii="宋体" w:hAnsi="宋体" w:eastAsia="宋体" w:cs="宋体"/>
          <w:b/>
          <w:bCs/>
          <w:lang w:val="en-US" w:eastAsia="zh-CN"/>
        </w:rPr>
        <w:t>一、试点项目范围</w:t>
      </w:r>
    </w:p>
    <w:p>
      <w:pPr>
        <w:pStyle w:val="17"/>
        <w:rPr>
          <w:rFonts w:hint="eastAsia" w:ascii="宋体" w:hAnsi="宋体" w:eastAsia="宋体" w:cs="宋体"/>
        </w:rPr>
      </w:pPr>
      <w:r>
        <w:rPr>
          <w:rFonts w:hint="eastAsia" w:ascii="宋体" w:hAnsi="宋体" w:eastAsia="宋体" w:cs="宋体"/>
          <w:lang w:val="en-US" w:eastAsia="zh-CN"/>
        </w:rPr>
        <w:t>鼓励县级以上人民政府将交通、能源、市政、水利、信息、环保、保障性安居工程、医疗和养老服务等基础设施和公用事业项目，以特许经营的方式实施PPP试点。由政府授权的投资主体与社会资本签订项目合作协议，组建PPP项目公司，共同参与项目前期论证、中期建设、后期运营等，共担风险，共享收益。试点项目应为收益比较稳定，技术发展比较成熟，长期合同关系比较明确，投资金额一般在1亿元以上，一轮合作期限一般为10～30年。</w:t>
      </w:r>
    </w:p>
    <w:p>
      <w:pPr>
        <w:pStyle w:val="17"/>
        <w:rPr>
          <w:rFonts w:hint="eastAsia" w:ascii="宋体" w:hAnsi="宋体" w:eastAsia="宋体" w:cs="宋体"/>
        </w:rPr>
      </w:pPr>
      <w:r>
        <w:rPr>
          <w:rFonts w:hint="eastAsia" w:ascii="宋体" w:hAnsi="宋体" w:eastAsia="宋体" w:cs="宋体"/>
          <w:lang w:val="en-US" w:eastAsia="zh-CN"/>
        </w:rPr>
        <w:t>明确实施试点的项目，由政府或有权授予特许经营的主管部门与PPP项目公司签订特许经营协议，确定项目实施与管理要求，实现项目公益性和盈利性的统一。</w:t>
      </w:r>
    </w:p>
    <w:p>
      <w:pPr>
        <w:pStyle w:val="17"/>
        <w:rPr>
          <w:rFonts w:hint="eastAsia" w:ascii="宋体" w:hAnsi="宋体" w:eastAsia="宋体" w:cs="宋体"/>
        </w:rPr>
      </w:pPr>
      <w:r>
        <w:rPr>
          <w:rFonts w:hint="eastAsia" w:ascii="宋体" w:hAnsi="宋体" w:eastAsia="宋体" w:cs="宋体"/>
          <w:lang w:val="en-US" w:eastAsia="zh-CN"/>
        </w:rPr>
        <w:t>已建成的项目，也可以植入PPP模式，引入社会资本并组建PPP项目公司，通过项目租赁、重组、转让等方式对原项目进行升级改造或合作运营，以缓解财政资金压力、提升经营管理水平、改善公共服务质量。</w:t>
      </w:r>
    </w:p>
    <w:p>
      <w:pPr>
        <w:pStyle w:val="17"/>
        <w:rPr>
          <w:rFonts w:hint="eastAsia" w:ascii="宋体" w:hAnsi="宋体" w:eastAsia="宋体" w:cs="宋体"/>
          <w:b/>
          <w:bCs/>
        </w:rPr>
      </w:pPr>
      <w:r>
        <w:rPr>
          <w:rFonts w:hint="eastAsia" w:ascii="宋体" w:hAnsi="宋体" w:eastAsia="宋体" w:cs="宋体"/>
          <w:b/>
          <w:bCs/>
          <w:lang w:val="en-US" w:eastAsia="zh-CN"/>
        </w:rPr>
        <w:t>二、试点项目确立</w:t>
      </w:r>
    </w:p>
    <w:p>
      <w:pPr>
        <w:pStyle w:val="17"/>
        <w:rPr>
          <w:rFonts w:hint="eastAsia" w:ascii="宋体" w:hAnsi="宋体" w:eastAsia="宋体" w:cs="宋体"/>
        </w:rPr>
      </w:pPr>
      <w:r>
        <w:rPr>
          <w:rFonts w:hint="eastAsia" w:ascii="宋体" w:hAnsi="宋体" w:eastAsia="宋体" w:cs="宋体"/>
          <w:lang w:val="en-US" w:eastAsia="zh-CN"/>
        </w:rPr>
        <w:t>（一）建设项目库。各级政府要按照本地区基础设施和公用事业建设需要，兼顾资金有效配置及项目合理布局，做好本地区PPP试点的项目策划。及时向社会发布PPP试点相关政策法规，公开市场准入和投资等方面的信息。设区市政府建立本地区项目储备库，省级建立投资金额5亿元以上的项目储备库。与试点行业相关的省直主管部门应在各自职责范围内，牵头做好本行业试点项目筛选和推介，指导并推动项目所在地政府开展项目试点。</w:t>
      </w:r>
    </w:p>
    <w:p>
      <w:pPr>
        <w:pStyle w:val="17"/>
        <w:rPr>
          <w:rFonts w:hint="eastAsia" w:ascii="宋体" w:hAnsi="宋体" w:eastAsia="宋体" w:cs="宋体"/>
        </w:rPr>
      </w:pPr>
      <w:r>
        <w:rPr>
          <w:rFonts w:hint="eastAsia" w:ascii="宋体" w:hAnsi="宋体" w:eastAsia="宋体" w:cs="宋体"/>
          <w:lang w:val="en-US" w:eastAsia="zh-CN"/>
        </w:rPr>
        <w:t>（二）做好前期论证。政府或授权组织实施单位要对拟实施PPP的项目进行必要性、可行性、经济性、合规性评估，对不同合作方式所对应的资本结构、运行成本及可获得的利润进行综合分析。重点关注定价机制、风险分担、产出质量、运营成本等要素，平衡项目经济效益和社会效益。</w:t>
      </w:r>
    </w:p>
    <w:p>
      <w:pPr>
        <w:pStyle w:val="17"/>
        <w:rPr>
          <w:rFonts w:hint="eastAsia" w:ascii="宋体" w:hAnsi="宋体" w:eastAsia="宋体" w:cs="宋体"/>
        </w:rPr>
      </w:pPr>
      <w:r>
        <w:rPr>
          <w:rFonts w:hint="eastAsia" w:ascii="宋体" w:hAnsi="宋体" w:eastAsia="宋体" w:cs="宋体"/>
          <w:lang w:val="en-US" w:eastAsia="zh-CN"/>
        </w:rPr>
        <w:t>（三）制定实施方案。授权组织实施单位要根据前期论证情况，制定PPP实施方案，明确项目基本情况和经济技术指标，确定合作伙伴选择条件和方式，测算项目投资总额和政府承诺，拟定特许经营草案。实施方案应事先征求发改、财政、规划、建设、国土、环保、价格等部门的意见，并报同级政府批准。</w:t>
      </w:r>
    </w:p>
    <w:p>
      <w:pPr>
        <w:pStyle w:val="17"/>
        <w:rPr>
          <w:rFonts w:hint="eastAsia" w:ascii="宋体" w:hAnsi="宋体" w:eastAsia="宋体" w:cs="宋体"/>
        </w:rPr>
      </w:pPr>
      <w:r>
        <w:rPr>
          <w:rFonts w:hint="eastAsia" w:ascii="宋体" w:hAnsi="宋体" w:eastAsia="宋体" w:cs="宋体"/>
          <w:lang w:val="en-US" w:eastAsia="zh-CN"/>
        </w:rPr>
        <w:t>政府或授权组织实施单位在开展试点项目前期论证和制定实施方案等阶段，应对有意向参与项目合作的社会资本开放，广泛征集项目方案。</w:t>
      </w:r>
    </w:p>
    <w:p>
      <w:pPr>
        <w:pStyle w:val="17"/>
        <w:rPr>
          <w:rFonts w:hint="eastAsia" w:ascii="宋体" w:hAnsi="宋体" w:eastAsia="宋体" w:cs="宋体"/>
        </w:rPr>
      </w:pPr>
      <w:r>
        <w:rPr>
          <w:rFonts w:hint="eastAsia" w:ascii="宋体" w:hAnsi="宋体" w:eastAsia="宋体" w:cs="宋体"/>
          <w:lang w:val="en-US" w:eastAsia="zh-CN"/>
        </w:rPr>
        <w:t>（四）严格项目招标。授权组织实施单位要严格按照政府采购法和招标投标法的相关规定组织开展招标。规范设置投资准入门槛，对各类投资主体同等对待，对非公有资本不得单独设置附加条件。评标过程中，组织专家委员会根据项目要求、应标单位报送的项目方案，并综合考虑应标单位的服务质量、专业素质和财务实力等，对项目可行性、经济性和财政负担能力等进行论证，确定中标单位及项目方案。授权组织实施单位应在规定的信息发布渠道公开招标各个环节，及时发布招标公告和中标结果等信息，保证程序公开、过程透明。</w:t>
      </w:r>
    </w:p>
    <w:p>
      <w:pPr>
        <w:pStyle w:val="17"/>
        <w:rPr>
          <w:rFonts w:hint="eastAsia" w:ascii="宋体" w:hAnsi="宋体" w:eastAsia="宋体" w:cs="宋体"/>
        </w:rPr>
      </w:pPr>
      <w:r>
        <w:rPr>
          <w:rFonts w:hint="eastAsia" w:ascii="宋体" w:hAnsi="宋体" w:eastAsia="宋体" w:cs="宋体"/>
          <w:lang w:val="en-US" w:eastAsia="zh-CN"/>
        </w:rPr>
        <w:t>（五）明确合同管理。政府授权的投资主体与PPP项目其他参与各方在平等协商、依法合规的基础上，根据PPP试点要求签订项目合作协议，确定合作各方权利和责任，合理分担风险。项目合作协议应包括以下内容：1.项目内容；2.合作模式及相关特许经营权内容；3.成立PPP项目公司事项；4.投资、作价及收益；5.风险责任分担；6.绩效指标及评价机制；7.监督机制；8.退出及项目移交机制；9.违约责任；10.争议解决方式；11.各方认为应该约定的其他事项。</w:t>
      </w:r>
    </w:p>
    <w:p>
      <w:pPr>
        <w:pStyle w:val="17"/>
        <w:rPr>
          <w:rFonts w:hint="eastAsia" w:ascii="宋体" w:hAnsi="宋体" w:eastAsia="宋体" w:cs="宋体"/>
        </w:rPr>
      </w:pPr>
      <w:r>
        <w:rPr>
          <w:rFonts w:hint="eastAsia" w:ascii="宋体" w:hAnsi="宋体" w:eastAsia="宋体" w:cs="宋体"/>
          <w:lang w:val="en-US" w:eastAsia="zh-CN"/>
        </w:rPr>
        <w:t>政府或有权授予特许经营的主管部门与PPP项目公司按特许经营管理相关法规，在项目合作协议框架下签订特许经营协议。特许经营协议应包括以下内容：1.特许经营内容、范围及期限；2.产品和服务标准；3.价格、收费、补贴的确定方法及调整机制；4.设施的权属与处置；5.设施维护和更新改造；6.安全管理；7.履约担保；8.特许经营权的终止、变更及临时接管；9.违约责任；10.争议解决方式；11.双方认为应该约定的其他事项。</w:t>
      </w:r>
    </w:p>
    <w:p>
      <w:pPr>
        <w:pStyle w:val="17"/>
        <w:rPr>
          <w:rFonts w:hint="eastAsia" w:ascii="宋体" w:hAnsi="宋体" w:eastAsia="宋体" w:cs="宋体"/>
        </w:rPr>
      </w:pPr>
      <w:r>
        <w:rPr>
          <w:rFonts w:hint="eastAsia" w:ascii="宋体" w:hAnsi="宋体" w:eastAsia="宋体" w:cs="宋体"/>
          <w:lang w:val="en-US" w:eastAsia="zh-CN"/>
        </w:rPr>
        <w:t>项目合作协议和特许经营协议等相关合同应报项目实施地财政部门备案。</w:t>
      </w:r>
    </w:p>
    <w:p>
      <w:pPr>
        <w:pStyle w:val="17"/>
        <w:rPr>
          <w:rFonts w:hint="eastAsia" w:ascii="宋体" w:hAnsi="宋体" w:eastAsia="宋体" w:cs="宋体"/>
          <w:b/>
          <w:bCs/>
        </w:rPr>
      </w:pPr>
      <w:r>
        <w:rPr>
          <w:rFonts w:hint="eastAsia" w:ascii="宋体" w:hAnsi="宋体" w:eastAsia="宋体" w:cs="宋体"/>
          <w:b/>
          <w:bCs/>
          <w:lang w:val="en-US" w:eastAsia="zh-CN"/>
        </w:rPr>
        <w:t>三、试点项目实施</w:t>
      </w:r>
    </w:p>
    <w:p>
      <w:pPr>
        <w:pStyle w:val="17"/>
        <w:rPr>
          <w:rFonts w:hint="eastAsia" w:ascii="宋体" w:hAnsi="宋体" w:eastAsia="宋体" w:cs="宋体"/>
        </w:rPr>
      </w:pPr>
      <w:r>
        <w:rPr>
          <w:rFonts w:hint="eastAsia" w:ascii="宋体" w:hAnsi="宋体" w:eastAsia="宋体" w:cs="宋体"/>
          <w:lang w:val="en-US" w:eastAsia="zh-CN"/>
        </w:rPr>
        <w:t>（一）坚持市场经营。PPP项目公司应按现代企业制度的要求，建立健全法人治理结构，依法经营管理，实现项目正常运营。PPP项目公司遵守市场经营原则，追求项目质量，合理节约项目成本，做好公共产品供应，开拓服务市场，并依法承担项目建造、运营、技术风险。政府或有权授予特许经营的主管部门按照特许经营协议约定履行合同义务和监管责任，并承担法律、政策风险，不得给予过高的补贴承诺，不得兜底市场风险。</w:t>
      </w:r>
    </w:p>
    <w:p>
      <w:pPr>
        <w:pStyle w:val="17"/>
        <w:rPr>
          <w:rFonts w:hint="eastAsia" w:ascii="宋体" w:hAnsi="宋体" w:eastAsia="宋体" w:cs="宋体"/>
        </w:rPr>
      </w:pPr>
      <w:r>
        <w:rPr>
          <w:rFonts w:hint="eastAsia" w:ascii="宋体" w:hAnsi="宋体" w:eastAsia="宋体" w:cs="宋体"/>
          <w:lang w:val="en-US" w:eastAsia="zh-CN"/>
        </w:rPr>
        <w:t>（二）确保项目质量。PPP项目公司要按照约定的合作期限统筹项目投入和产出，严格按照设计文件组织工程建设，加强施工管理，确保工程质量，并对工程质量承担终身责任。在项目运营期间，努力提高经营管理水平，依约提供安全、优质、高效、便利的公共服务，并定期对项目设施进行检修和保养，保证设施正常运转。未经政府或有权授予特许经营的主管部门许可，不得转让、出租、质押、抵押或以其他方式擅自处分项目设施及资产，不得将项目的贷款、设施及相关土地使用权等用于特许经营项目之外的用途。</w:t>
      </w:r>
    </w:p>
    <w:p>
      <w:pPr>
        <w:pStyle w:val="17"/>
        <w:rPr>
          <w:rFonts w:hint="eastAsia" w:ascii="宋体" w:hAnsi="宋体" w:eastAsia="宋体" w:cs="宋体"/>
        </w:rPr>
      </w:pPr>
      <w:r>
        <w:rPr>
          <w:rFonts w:hint="eastAsia" w:ascii="宋体" w:hAnsi="宋体" w:eastAsia="宋体" w:cs="宋体"/>
          <w:lang w:val="en-US" w:eastAsia="zh-CN"/>
        </w:rPr>
        <w:t>（三）建立调整机制。特许经营协议双方根据建造成本、运营维护费用、未来使用流量、预期收益率等因素，协商确定价格、收益和补贴。协议约定可以涉及与特许经营项目有关的土地使用、相关基础设施和公用事业的提供，产品或服务的政府采购等。在项目运营期间，根据项目运营情况、公众满意度等，适时调整价格、收费标准、财政补贴、租金等，确保回报合理、项目可持续运营。项目合作期限可以根据项目运营情况及政府补贴能力由项目参与各方协商调整。</w:t>
      </w:r>
    </w:p>
    <w:p>
      <w:pPr>
        <w:pStyle w:val="17"/>
        <w:rPr>
          <w:rFonts w:hint="eastAsia" w:ascii="宋体" w:hAnsi="宋体" w:eastAsia="宋体" w:cs="宋体"/>
        </w:rPr>
      </w:pPr>
      <w:r>
        <w:rPr>
          <w:rFonts w:hint="eastAsia" w:ascii="宋体" w:hAnsi="宋体" w:eastAsia="宋体" w:cs="宋体"/>
          <w:lang w:val="en-US" w:eastAsia="zh-CN"/>
        </w:rPr>
        <w:t>（四）给予政策扶持。符合现行政策的PPP项目公司，享受我省总部经济的优惠政策。省财政厅根据全省PPP项目实施进展情况，逐步安排5亿元专项资金，成立风险池，为地方PPP项目贷款提供增信支持。各金融机构积极开发金融产品和创新金融服务，切实加大对符合条件的PPP项目贷款支持力度。因项目实施需要，经项目实施地政府批准后，符合条件的PPP项目特许经营权可用于向金融机构进行融资。支持PPP项目公司拓宽直接融资渠道，并享受我省扶持企业上市优惠政策。支持PPP项目公司利用外国政府贷款或国际金融组织资金，积极争取保险资金和全国社保基金等多渠道资金。</w:t>
      </w:r>
    </w:p>
    <w:p>
      <w:pPr>
        <w:pStyle w:val="17"/>
        <w:rPr>
          <w:rFonts w:hint="eastAsia" w:ascii="宋体" w:hAnsi="宋体" w:eastAsia="宋体" w:cs="宋体"/>
          <w:b/>
          <w:bCs/>
        </w:rPr>
      </w:pPr>
      <w:r>
        <w:rPr>
          <w:rFonts w:hint="eastAsia" w:ascii="宋体" w:hAnsi="宋体" w:eastAsia="宋体" w:cs="宋体"/>
          <w:b/>
          <w:bCs/>
          <w:lang w:val="en-US" w:eastAsia="zh-CN"/>
        </w:rPr>
        <w:t>四、试点项目监管</w:t>
      </w:r>
    </w:p>
    <w:p>
      <w:pPr>
        <w:pStyle w:val="17"/>
        <w:rPr>
          <w:rFonts w:hint="eastAsia" w:ascii="宋体" w:hAnsi="宋体" w:eastAsia="宋体" w:cs="宋体"/>
        </w:rPr>
      </w:pPr>
      <w:r>
        <w:rPr>
          <w:rFonts w:hint="eastAsia" w:ascii="宋体" w:hAnsi="宋体" w:eastAsia="宋体" w:cs="宋体"/>
          <w:lang w:val="en-US" w:eastAsia="zh-CN"/>
        </w:rPr>
        <w:t>（一）加强风险管理。各级政府应根据本地区财力实际，科学安排PPP试点项目，做好资金测算及预算统筹。各级财政部门应依法依规加强对PPP项目融资、建设、运营等财务监管，严格项目预算执行，强化风险预警和控制。</w:t>
      </w:r>
    </w:p>
    <w:p>
      <w:pPr>
        <w:pStyle w:val="17"/>
        <w:rPr>
          <w:rFonts w:hint="eastAsia" w:ascii="宋体" w:hAnsi="宋体" w:eastAsia="宋体" w:cs="宋体"/>
        </w:rPr>
      </w:pPr>
      <w:r>
        <w:rPr>
          <w:rFonts w:hint="eastAsia" w:ascii="宋体" w:hAnsi="宋体" w:eastAsia="宋体" w:cs="宋体"/>
          <w:lang w:val="en-US" w:eastAsia="zh-CN"/>
        </w:rPr>
        <w:t>（二）开展绩效评价。要完善绩效评价方法，推行政府部门和社会资本之外的第三方评审机制，对项目运作、公共服务质量和资金使用效率等进行综合评价，评价结果向社会公示，并作为项目价格、补贴、合作期限等调整的依据。项目实施地财政部门也可以将PPP项目纳入财政资金绩效评价管理体系。</w:t>
      </w:r>
    </w:p>
    <w:p>
      <w:pPr>
        <w:pStyle w:val="17"/>
        <w:rPr>
          <w:rFonts w:hint="eastAsia" w:ascii="宋体" w:hAnsi="宋体" w:eastAsia="宋体" w:cs="宋体"/>
        </w:rPr>
      </w:pPr>
      <w:r>
        <w:rPr>
          <w:rFonts w:hint="eastAsia" w:ascii="宋体" w:hAnsi="宋体" w:eastAsia="宋体" w:cs="宋体"/>
          <w:lang w:val="en-US" w:eastAsia="zh-CN"/>
        </w:rPr>
        <w:t>（三）部门共同监管。财政部门制定完善PPP试点的政策制度、操作流程和合同范本等配套文件，并会同有关部门加强监督指导。发改、经信、规划、国土、住建、交通运输、环保、水利、卫计、民政、审计、监察等相关行政部门，在各自职责范围内参与项目过程管理和监督等工作，依法履行监督管理职责。</w:t>
      </w:r>
    </w:p>
    <w:p>
      <w:pPr>
        <w:pStyle w:val="17"/>
        <w:rPr>
          <w:rFonts w:hint="eastAsia" w:ascii="宋体" w:hAnsi="宋体" w:eastAsia="宋体" w:cs="宋体"/>
        </w:rPr>
      </w:pPr>
      <w:r>
        <w:rPr>
          <w:rFonts w:hint="eastAsia" w:ascii="宋体" w:hAnsi="宋体" w:eastAsia="宋体" w:cs="宋体"/>
          <w:lang w:val="en-US" w:eastAsia="zh-CN"/>
        </w:rPr>
        <w:t> </w:t>
      </w:r>
    </w:p>
    <w:p>
      <w:pPr>
        <w:pStyle w:val="17"/>
        <w:jc w:val="right"/>
        <w:rPr>
          <w:rFonts w:hint="eastAsia" w:ascii="宋体" w:hAnsi="宋体" w:eastAsia="宋体" w:cs="宋体"/>
        </w:rPr>
      </w:pPr>
      <w:r>
        <w:rPr>
          <w:rFonts w:hint="eastAsia" w:ascii="宋体" w:hAnsi="宋体" w:eastAsia="宋体" w:cs="宋体"/>
          <w:lang w:val="en-US" w:eastAsia="zh-CN"/>
        </w:rPr>
        <w:t xml:space="preserve">福建省人民政府 </w:t>
      </w:r>
    </w:p>
    <w:p>
      <w:pPr>
        <w:pStyle w:val="17"/>
        <w:jc w:val="right"/>
        <w:rPr>
          <w:rFonts w:hint="eastAsia" w:ascii="宋体" w:hAnsi="宋体" w:eastAsia="宋体" w:cs="宋体"/>
        </w:rPr>
      </w:pPr>
      <w:r>
        <w:rPr>
          <w:rFonts w:hint="eastAsia" w:ascii="宋体" w:hAnsi="宋体" w:eastAsia="宋体" w:cs="宋体"/>
          <w:lang w:val="en-US" w:eastAsia="zh-CN"/>
        </w:rPr>
        <w:t>2014年9月6日</w:t>
      </w:r>
    </w:p>
    <w:p>
      <w:pPr>
        <w:pStyle w:val="17"/>
        <w:jc w:val="right"/>
        <w:rPr>
          <w:rFonts w:hint="eastAsia" w:ascii="宋体" w:hAnsi="宋体" w:eastAsia="宋体" w:cs="宋体"/>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6273D2F"/>
    <w:rsid w:val="0826101C"/>
    <w:rsid w:val="083B2E68"/>
    <w:rsid w:val="08673D2A"/>
    <w:rsid w:val="172E5427"/>
    <w:rsid w:val="17EE545F"/>
    <w:rsid w:val="198860F9"/>
    <w:rsid w:val="1B0A3499"/>
    <w:rsid w:val="208E165E"/>
    <w:rsid w:val="2182268D"/>
    <w:rsid w:val="24EC5364"/>
    <w:rsid w:val="251865EA"/>
    <w:rsid w:val="275012D1"/>
    <w:rsid w:val="28461F24"/>
    <w:rsid w:val="36EA50A7"/>
    <w:rsid w:val="37C1347B"/>
    <w:rsid w:val="39E113F5"/>
    <w:rsid w:val="3B2F6EF7"/>
    <w:rsid w:val="3CDF67F3"/>
    <w:rsid w:val="3D9A530C"/>
    <w:rsid w:val="41193F13"/>
    <w:rsid w:val="4B4F1F4F"/>
    <w:rsid w:val="4D765109"/>
    <w:rsid w:val="4EFF5BB2"/>
    <w:rsid w:val="572040A1"/>
    <w:rsid w:val="575C6B12"/>
    <w:rsid w:val="5CEA6EFD"/>
    <w:rsid w:val="5FFD6D65"/>
    <w:rsid w:val="6080698E"/>
    <w:rsid w:val="64013AF7"/>
    <w:rsid w:val="65A31D7F"/>
    <w:rsid w:val="6C7675A4"/>
    <w:rsid w:val="70283050"/>
    <w:rsid w:val="71A242AF"/>
    <w:rsid w:val="72F907FB"/>
    <w:rsid w:val="7584598A"/>
    <w:rsid w:val="78DE1F91"/>
    <w:rsid w:val="79EA7C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style>
  <w:style w:type="character" w:styleId="7">
    <w:name w:val="FollowedHyperlink"/>
    <w:basedOn w:val="5"/>
    <w:qFormat/>
    <w:uiPriority w:val="0"/>
    <w:rPr>
      <w:color w:val="607FA6"/>
      <w:u w:val="none"/>
    </w:rPr>
  </w:style>
  <w:style w:type="character" w:styleId="8">
    <w:name w:val="Emphasis"/>
    <w:basedOn w:val="5"/>
    <w:qFormat/>
    <w:uiPriority w:val="0"/>
  </w:style>
  <w:style w:type="character" w:styleId="9">
    <w:name w:val="HTML Definition"/>
    <w:basedOn w:val="5"/>
    <w:qFormat/>
    <w:uiPriority w:val="0"/>
  </w:style>
  <w:style w:type="character" w:styleId="10">
    <w:name w:val="HTML Variable"/>
    <w:basedOn w:val="5"/>
    <w:qFormat/>
    <w:uiPriority w:val="0"/>
  </w:style>
  <w:style w:type="character" w:styleId="11">
    <w:name w:val="Hyperlink"/>
    <w:basedOn w:val="5"/>
    <w:qFormat/>
    <w:uiPriority w:val="0"/>
    <w:rPr>
      <w:color w:val="607FA6"/>
      <w:u w:val="none"/>
    </w:rPr>
  </w:style>
  <w:style w:type="character" w:styleId="12">
    <w:name w:val="HTML Code"/>
    <w:basedOn w:val="5"/>
    <w:qFormat/>
    <w:uiPriority w:val="0"/>
    <w:rPr>
      <w:rFonts w:ascii="Menlo" w:hAnsi="Menlo" w:eastAsia="Menlo" w:cs="Menlo"/>
      <w:color w:val="C7254E"/>
      <w:sz w:val="21"/>
      <w:szCs w:val="21"/>
      <w:shd w:val="clear" w:fill="F9F2F4"/>
    </w:rPr>
  </w:style>
  <w:style w:type="character" w:styleId="13">
    <w:name w:val="HTML Cite"/>
    <w:basedOn w:val="5"/>
    <w:qFormat/>
    <w:uiPriority w:val="0"/>
  </w:style>
  <w:style w:type="character" w:styleId="14">
    <w:name w:val="HTML Keyboard"/>
    <w:basedOn w:val="5"/>
    <w:qFormat/>
    <w:uiPriority w:val="0"/>
    <w:rPr>
      <w:rFonts w:hint="default" w:ascii="Menlo" w:hAnsi="Menlo" w:eastAsia="Menlo" w:cs="Menlo"/>
      <w:color w:val="FFFFFF"/>
      <w:sz w:val="21"/>
      <w:szCs w:val="21"/>
      <w:shd w:val="clear" w:fill="333333"/>
    </w:rPr>
  </w:style>
  <w:style w:type="character" w:styleId="15">
    <w:name w:val="HTML Sample"/>
    <w:basedOn w:val="5"/>
    <w:qFormat/>
    <w:uiPriority w:val="0"/>
    <w:rPr>
      <w:rFonts w:hint="default" w:ascii="Menlo" w:hAnsi="Menlo" w:eastAsia="Menlo" w:cs="Menlo"/>
      <w:sz w:val="21"/>
      <w:szCs w:val="21"/>
    </w:rPr>
  </w:style>
  <w:style w:type="paragraph" w:customStyle="1" w:styleId="17">
    <w:name w:val="样式1"/>
    <w:basedOn w:val="1"/>
    <w:qFormat/>
    <w:uiPriority w:val="0"/>
    <w:pPr>
      <w:spacing w:before="10"/>
      <w:ind w:firstLine="420" w:firstLineChars="200"/>
    </w:pPr>
    <w:rPr>
      <w:rFonts w:asciiTheme="minorAscii" w:hAnsiTheme="minorAscii"/>
    </w:rPr>
  </w:style>
  <w:style w:type="character" w:customStyle="1" w:styleId="18">
    <w:name w:val="css_blue1"/>
    <w:basedOn w:val="5"/>
    <w:qFormat/>
    <w:uiPriority w:val="0"/>
    <w:rPr>
      <w:color w:val="4A81A8"/>
      <w:sz w:val="21"/>
      <w:szCs w:val="21"/>
    </w:rPr>
  </w:style>
  <w:style w:type="character" w:customStyle="1" w:styleId="19">
    <w:name w:val="rich_media_meta_nickname"/>
    <w:basedOn w:val="5"/>
    <w:qFormat/>
    <w:uiPriority w:val="0"/>
    <w:rPr>
      <w:vanish/>
    </w:rPr>
  </w:style>
  <w:style w:type="character" w:customStyle="1" w:styleId="20">
    <w:name w:val="rich_media_meta_nickname1"/>
    <w:basedOn w:val="5"/>
    <w:qFormat/>
    <w:uiPriority w:val="0"/>
  </w:style>
  <w:style w:type="character" w:customStyle="1" w:styleId="21">
    <w:name w:val="tz_input"/>
    <w:basedOn w:val="5"/>
    <w:qFormat/>
    <w:uiPriority w:val="0"/>
    <w:rPr>
      <w:color w:val="A01211"/>
      <w:sz w:val="24"/>
      <w:szCs w:val="24"/>
    </w:rPr>
  </w:style>
  <w:style w:type="character" w:customStyle="1" w:styleId="22">
    <w:name w:val="bg01"/>
    <w:basedOn w:val="5"/>
    <w:qFormat/>
    <w:uiPriority w:val="0"/>
  </w:style>
  <w:style w:type="character" w:customStyle="1" w:styleId="23">
    <w:name w:val="m01"/>
    <w:basedOn w:val="5"/>
    <w:qFormat/>
    <w:uiPriority w:val="0"/>
  </w:style>
  <w:style w:type="character" w:customStyle="1" w:styleId="24">
    <w:name w:val="m011"/>
    <w:basedOn w:val="5"/>
    <w:qFormat/>
    <w:uiPriority w:val="0"/>
  </w:style>
  <w:style w:type="character" w:customStyle="1" w:styleId="25">
    <w:name w:val="font"/>
    <w:basedOn w:val="5"/>
    <w:qFormat/>
    <w:uiPriority w:val="0"/>
  </w:style>
  <w:style w:type="character" w:customStyle="1" w:styleId="26">
    <w:name w:val="font1"/>
    <w:basedOn w:val="5"/>
    <w:qFormat/>
    <w:uiPriority w:val="0"/>
  </w:style>
  <w:style w:type="character" w:customStyle="1" w:styleId="27">
    <w:name w:val="bg02"/>
    <w:basedOn w:val="5"/>
    <w:qFormat/>
    <w:uiPriority w:val="0"/>
  </w:style>
  <w:style w:type="character" w:customStyle="1" w:styleId="28">
    <w:name w:val="tabg"/>
    <w:basedOn w:val="5"/>
    <w:qFormat/>
    <w:uiPriority w:val="0"/>
    <w:rPr>
      <w:color w:val="FFFFFF"/>
      <w:sz w:val="27"/>
      <w:szCs w:val="27"/>
    </w:rPr>
  </w:style>
  <w:style w:type="character" w:customStyle="1" w:styleId="29">
    <w:name w:val="more4"/>
    <w:basedOn w:val="5"/>
    <w:qFormat/>
    <w:uiPriority w:val="0"/>
    <w:rPr>
      <w:color w:val="666666"/>
      <w:sz w:val="18"/>
      <w:szCs w:val="18"/>
    </w:rPr>
  </w:style>
  <w:style w:type="character" w:customStyle="1" w:styleId="30">
    <w:name w:val="gwds_nopic"/>
    <w:basedOn w:val="5"/>
    <w:qFormat/>
    <w:uiPriority w:val="0"/>
  </w:style>
  <w:style w:type="character" w:customStyle="1" w:styleId="31">
    <w:name w:val="gwds_nopic1"/>
    <w:basedOn w:val="5"/>
    <w:qFormat/>
    <w:uiPriority w:val="0"/>
  </w:style>
  <w:style w:type="character" w:customStyle="1" w:styleId="32">
    <w:name w:val="gwds_nopic2"/>
    <w:basedOn w:val="5"/>
    <w:qFormat/>
    <w:uiPriority w:val="0"/>
  </w:style>
  <w:style w:type="character" w:customStyle="1" w:styleId="33">
    <w:name w:val="bds_more4"/>
    <w:basedOn w:val="5"/>
    <w:qFormat/>
    <w:uiPriority w:val="0"/>
  </w:style>
  <w:style w:type="character" w:customStyle="1" w:styleId="34">
    <w:name w:val="bds_nopic"/>
    <w:basedOn w:val="5"/>
    <w:qFormat/>
    <w:uiPriority w:val="0"/>
  </w:style>
  <w:style w:type="character" w:customStyle="1" w:styleId="35">
    <w:name w:val="bds_nopic1"/>
    <w:basedOn w:val="5"/>
    <w:qFormat/>
    <w:uiPriority w:val="0"/>
  </w:style>
  <w:style w:type="character" w:customStyle="1" w:styleId="36">
    <w:name w:val="bds_nopic2"/>
    <w:basedOn w:val="5"/>
    <w:qFormat/>
    <w:uiPriority w:val="0"/>
  </w:style>
  <w:style w:type="character" w:customStyle="1" w:styleId="37">
    <w:name w:val="bds_more3"/>
    <w:basedOn w:val="5"/>
    <w:qFormat/>
    <w:uiPriority w:val="0"/>
    <w:rPr>
      <w:rFonts w:hint="eastAsia" w:ascii="宋体" w:hAnsi="宋体" w:eastAsia="宋体" w:cs="宋体"/>
    </w:rPr>
  </w:style>
  <w:style w:type="character" w:customStyle="1" w:styleId="38">
    <w:name w:val="bds_more5"/>
    <w:basedOn w:val="5"/>
    <w:qFormat/>
    <w:uiPriority w:val="0"/>
  </w:style>
  <w:style w:type="character" w:customStyle="1" w:styleId="39">
    <w:name w:val="on"/>
    <w:basedOn w:val="5"/>
    <w:qFormat/>
    <w:uiPriority w:val="0"/>
    <w:rPr>
      <w:color w:val="FFFFFF"/>
    </w:rPr>
  </w:style>
  <w:style w:type="character" w:customStyle="1" w:styleId="40">
    <w:name w:val="cur"/>
    <w:basedOn w:val="5"/>
    <w:qFormat/>
    <w:uiPriority w:val="0"/>
    <w:rPr>
      <w:b/>
    </w:rPr>
  </w:style>
  <w:style w:type="character" w:customStyle="1" w:styleId="41">
    <w:name w:val="cur1"/>
    <w:basedOn w:val="5"/>
    <w:qFormat/>
    <w:uiPriority w:val="0"/>
    <w:rPr>
      <w:b/>
    </w:rPr>
  </w:style>
  <w:style w:type="character" w:customStyle="1" w:styleId="42">
    <w:name w:val="cur2"/>
    <w:basedOn w:val="5"/>
    <w:qFormat/>
    <w:uiPriority w:val="0"/>
    <w:rPr>
      <w:shd w:val="clear" w:fill="FF0000"/>
    </w:rPr>
  </w:style>
  <w:style w:type="character" w:customStyle="1" w:styleId="43">
    <w:name w:val="normal"/>
    <w:basedOn w:val="5"/>
    <w:qFormat/>
    <w:uiPriority w:val="0"/>
    <w:rPr>
      <w:color w:val="FFFFFF"/>
    </w:rPr>
  </w:style>
  <w:style w:type="character" w:customStyle="1" w:styleId="44">
    <w:name w:val="normal1"/>
    <w:basedOn w:val="5"/>
    <w:qFormat/>
    <w:uiPriority w:val="0"/>
    <w:rPr>
      <w:color w:val="FFFFFF"/>
    </w:rPr>
  </w:style>
  <w:style w:type="character" w:customStyle="1" w:styleId="45">
    <w:name w:val="normal2"/>
    <w:basedOn w:val="5"/>
    <w:qFormat/>
    <w:uiPriority w:val="0"/>
    <w:rPr>
      <w:color w:val="000000"/>
    </w:rPr>
  </w:style>
  <w:style w:type="character" w:customStyle="1" w:styleId="46">
    <w:name w:val="more"/>
    <w:basedOn w:val="5"/>
    <w:qFormat/>
    <w:uiPriority w:val="0"/>
    <w:rPr>
      <w:color w:val="666666"/>
      <w:sz w:val="18"/>
      <w:szCs w:val="18"/>
    </w:rPr>
  </w:style>
  <w:style w:type="character" w:customStyle="1" w:styleId="47">
    <w:name w:val="tn-zhishi"/>
    <w:basedOn w:val="5"/>
    <w:qFormat/>
    <w:uiPriority w:val="0"/>
    <w:rPr>
      <w:shd w:val="clear" w:fill="8B6124"/>
    </w:rPr>
  </w:style>
  <w:style w:type="character" w:customStyle="1" w:styleId="48">
    <w:name w:val="hover57"/>
    <w:basedOn w:val="5"/>
    <w:qFormat/>
    <w:uiPriority w:val="0"/>
    <w:rPr>
      <w:shd w:val="clear" w:fill="F3F3F3"/>
    </w:rPr>
  </w:style>
  <w:style w:type="character" w:customStyle="1" w:styleId="49">
    <w:name w:val="hover58"/>
    <w:basedOn w:val="5"/>
    <w:qFormat/>
    <w:uiPriority w:val="0"/>
    <w:rPr>
      <w:shd w:val="clear" w:fill="F3F3F3"/>
    </w:rPr>
  </w:style>
  <w:style w:type="character" w:customStyle="1" w:styleId="50">
    <w:name w:val="hover59"/>
    <w:basedOn w:val="5"/>
    <w:qFormat/>
    <w:uiPriority w:val="0"/>
    <w:rPr>
      <w:shd w:val="clear" w:fill="F3F3F3"/>
    </w:rPr>
  </w:style>
  <w:style w:type="character" w:customStyle="1" w:styleId="51">
    <w:name w:val="hover60"/>
    <w:basedOn w:val="5"/>
    <w:qFormat/>
    <w:uiPriority w:val="0"/>
    <w:rPr>
      <w:shd w:val="clear" w:fill="F3F3F3"/>
    </w:rPr>
  </w:style>
  <w:style w:type="character" w:customStyle="1" w:styleId="52">
    <w:name w:val="tn-fuwu"/>
    <w:basedOn w:val="5"/>
    <w:qFormat/>
    <w:uiPriority w:val="0"/>
    <w:rPr>
      <w:shd w:val="clear" w:fill="DA5026"/>
    </w:rPr>
  </w:style>
  <w:style w:type="character" w:customStyle="1" w:styleId="53">
    <w:name w:val="tn-jingpin"/>
    <w:basedOn w:val="5"/>
    <w:qFormat/>
    <w:uiPriority w:val="0"/>
    <w:rPr>
      <w:shd w:val="clear" w:fill="1D79B7"/>
    </w:rPr>
  </w:style>
  <w:style w:type="character" w:customStyle="1" w:styleId="54">
    <w:name w:val="tn-diqu"/>
    <w:basedOn w:val="5"/>
    <w:qFormat/>
    <w:uiPriority w:val="0"/>
    <w:rPr>
      <w:shd w:val="clear" w:fill="669330"/>
    </w:rPr>
  </w:style>
  <w:style w:type="character" w:customStyle="1" w:styleId="55">
    <w:name w:val="bds_more"/>
    <w:basedOn w:val="5"/>
    <w:qFormat/>
    <w:uiPriority w:val="0"/>
    <w:rPr>
      <w:rFonts w:hint="eastAsia" w:ascii="宋体" w:hAnsi="宋体" w:eastAsia="宋体" w:cs="宋体"/>
    </w:rPr>
  </w:style>
  <w:style w:type="character" w:customStyle="1" w:styleId="56">
    <w:name w:val="bds_more1"/>
    <w:basedOn w:val="5"/>
    <w:qFormat/>
    <w:uiPriority w:val="0"/>
  </w:style>
  <w:style w:type="character" w:customStyle="1" w:styleId="57">
    <w:name w:val="bds_more2"/>
    <w:basedOn w:val="5"/>
    <w:qFormat/>
    <w:uiPriority w:val="0"/>
  </w:style>
  <w:style w:type="paragraph" w:customStyle="1" w:styleId="58">
    <w:name w:val="pbj"/>
    <w:basedOn w:val="1"/>
    <w:qFormat/>
    <w:uiPriority w:val="0"/>
    <w:pPr>
      <w:jc w:val="left"/>
    </w:pPr>
    <w:rPr>
      <w:kern w:val="0"/>
      <w:lang w:val="en-US" w:eastAsia="zh-CN" w:bidi="ar"/>
    </w:rPr>
  </w:style>
  <w:style w:type="character" w:customStyle="1" w:styleId="59">
    <w:name w:val="time"/>
    <w:basedOn w:val="5"/>
    <w:qFormat/>
    <w:uiPriority w:val="0"/>
    <w:rPr>
      <w:color w:val="777777"/>
    </w:rPr>
  </w:style>
  <w:style w:type="character" w:customStyle="1" w:styleId="60">
    <w:name w:val="onselect"/>
    <w:basedOn w:val="5"/>
    <w:qFormat/>
    <w:uiPriority w:val="0"/>
    <w:rPr>
      <w:shd w:val="clear" w:fill="FF0000"/>
    </w:rPr>
  </w:style>
  <w:style w:type="character" w:customStyle="1" w:styleId="61">
    <w:name w:val="hover17"/>
    <w:basedOn w:val="5"/>
    <w:qFormat/>
    <w:uiPriority w:val="0"/>
    <w:rPr>
      <w:color w:val="FFFFFF"/>
      <w:shd w:val="clear" w:fill="F9AC00"/>
    </w:rPr>
  </w:style>
  <w:style w:type="character" w:customStyle="1" w:styleId="62">
    <w:name w:val="keyword"/>
    <w:basedOn w:val="5"/>
    <w:qFormat/>
    <w:uiPriority w:val="0"/>
    <w:rPr>
      <w:color w:val="FF0000"/>
    </w:rPr>
  </w:style>
  <w:style w:type="character" w:customStyle="1" w:styleId="63">
    <w:name w:val="more-zereo"/>
    <w:basedOn w:val="5"/>
    <w:qFormat/>
    <w:uiPriority w:val="0"/>
    <w:rPr>
      <w:color w:val="EB0F0A"/>
    </w:rPr>
  </w:style>
  <w:style w:type="character" w:customStyle="1" w:styleId="64">
    <w:name w:val="hover14"/>
    <w:basedOn w:val="5"/>
    <w:qFormat/>
    <w:uiPriority w:val="0"/>
    <w:rPr>
      <w:color w:val="FFFFFF"/>
      <w:shd w:val="clear" w:fill="F9AC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2016-08-08T07:08:12Z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