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宋体" w:hAnsi="宋体" w:eastAsia="宋体" w:cs="宋体"/>
          <w:b/>
          <w:bCs/>
        </w:rPr>
      </w:pPr>
      <w:bookmarkStart w:id="0" w:name="_GoBack"/>
      <w:r>
        <w:rPr>
          <w:rFonts w:hint="eastAsia" w:ascii="宋体" w:hAnsi="宋体" w:eastAsia="宋体" w:cs="宋体"/>
          <w:b/>
          <w:bCs/>
        </w:rPr>
        <w:t>青岛市关于鼓励和引导社会资本参与投资基础设施等领域项目的实施方案</w:t>
      </w:r>
    </w:p>
    <w:bookmarkEnd w:id="0"/>
    <w:p>
      <w:pPr>
        <w:pStyle w:val="19"/>
        <w:rPr>
          <w:rFonts w:hint="eastAsia" w:ascii="宋体" w:hAnsi="宋体" w:eastAsia="宋体" w:cs="宋体"/>
        </w:rPr>
      </w:pPr>
      <w:r>
        <w:rPr>
          <w:rFonts w:hint="eastAsia" w:ascii="宋体" w:hAnsi="宋体" w:eastAsia="宋体" w:cs="宋体"/>
          <w:lang w:val="en-US" w:eastAsia="zh-CN"/>
        </w:rPr>
        <w:t xml:space="preserve">为贯彻十八届三中全会精神，深化投融资体制改革，拓展社会资本尤其是民间资本投资的渠道和领域，增强我市投资发展内生动力，保障公共产品有效供给，提升城市建设管理水平，现就引进社会资本投资基础设施等领域项目制定本实施方案。 </w:t>
      </w:r>
    </w:p>
    <w:p>
      <w:pPr>
        <w:pStyle w:val="19"/>
        <w:rPr>
          <w:rFonts w:hint="eastAsia" w:ascii="宋体" w:hAnsi="宋体" w:eastAsia="宋体" w:cs="宋体"/>
          <w:b/>
          <w:bCs/>
        </w:rPr>
      </w:pPr>
      <w:r>
        <w:rPr>
          <w:rFonts w:hint="eastAsia" w:ascii="宋体" w:hAnsi="宋体" w:eastAsia="宋体" w:cs="宋体"/>
          <w:b/>
          <w:bCs/>
          <w:lang w:val="en-US" w:eastAsia="zh-CN"/>
        </w:rPr>
        <w:t xml:space="preserve">一、基本原则 </w:t>
      </w:r>
    </w:p>
    <w:p>
      <w:pPr>
        <w:pStyle w:val="19"/>
        <w:rPr>
          <w:rFonts w:hint="eastAsia" w:ascii="宋体" w:hAnsi="宋体" w:eastAsia="宋体" w:cs="宋体"/>
        </w:rPr>
      </w:pPr>
      <w:r>
        <w:rPr>
          <w:rFonts w:hint="eastAsia" w:ascii="宋体" w:hAnsi="宋体" w:eastAsia="宋体" w:cs="宋体"/>
          <w:lang w:val="en-US" w:eastAsia="zh-CN"/>
        </w:rPr>
        <w:t xml:space="preserve">按照转变政府职能、推进市场化建设的基本方向，妥善处理政府和市场的关系，改革重点领域的投资运营机制，对具备一定条件的基础设施等领域项目的投资、建设和经营活动，通过建立完善公平的市场环境、有效的政策措施、合理的回报机制，放开增量、盘活存量，分类推进、试点先行，不断提升基础设施等领域发展水平。 </w:t>
      </w:r>
    </w:p>
    <w:p>
      <w:pPr>
        <w:pStyle w:val="19"/>
        <w:rPr>
          <w:rFonts w:hint="eastAsia" w:ascii="宋体" w:hAnsi="宋体" w:eastAsia="宋体" w:cs="宋体"/>
        </w:rPr>
      </w:pPr>
      <w:r>
        <w:rPr>
          <w:rFonts w:hint="eastAsia" w:ascii="宋体" w:hAnsi="宋体" w:eastAsia="宋体" w:cs="宋体"/>
          <w:lang w:val="en-US" w:eastAsia="zh-CN"/>
        </w:rPr>
        <w:t xml:space="preserve">（一）公开公平原则。建立统一的基础设施项目招商信息发布平台，规范项目相关内容，公开面向社会发布。采取招标、招募、竞争性谈判等多种招商方式，公正择优确定投资人，为社会资本投资创造良好的公平竞争环境。 </w:t>
      </w:r>
    </w:p>
    <w:p>
      <w:pPr>
        <w:pStyle w:val="19"/>
        <w:rPr>
          <w:rFonts w:hint="eastAsia" w:ascii="宋体" w:hAnsi="宋体" w:eastAsia="宋体" w:cs="宋体"/>
        </w:rPr>
      </w:pPr>
      <w:r>
        <w:rPr>
          <w:rFonts w:hint="eastAsia" w:ascii="宋体" w:hAnsi="宋体" w:eastAsia="宋体" w:cs="宋体"/>
          <w:lang w:val="en-US" w:eastAsia="zh-CN"/>
        </w:rPr>
        <w:t xml:space="preserve">（二）分类实施原则。根据行业特点和经营属性，分类明确项目用地、规划、财税、金融、价格及行业管理等重点政策，细化支持标准，建立投资、补贴与价格等方面的协同机制，保障项目合理的投资回报预期。根据项目具体情况制定招商合作方式和条件，重点推进条件成熟项目的招商引资工作。 </w:t>
      </w:r>
    </w:p>
    <w:p>
      <w:pPr>
        <w:pStyle w:val="19"/>
        <w:rPr>
          <w:rFonts w:hint="eastAsia" w:ascii="宋体" w:hAnsi="宋体" w:eastAsia="宋体" w:cs="宋体"/>
        </w:rPr>
      </w:pPr>
      <w:r>
        <w:rPr>
          <w:rFonts w:hint="eastAsia" w:ascii="宋体" w:hAnsi="宋体" w:eastAsia="宋体" w:cs="宋体"/>
          <w:lang w:val="en-US" w:eastAsia="zh-CN"/>
        </w:rPr>
        <w:t xml:space="preserve">（三）风险控制原则。加强项目管理，建立政府负债风险和资金管理风险的预测、监控机制，有效防范和化解各类风险。严格落实责任，加强行业监管，分行业设定技术规范，明确行业标准、服务质量和监管细则，保障城市公共安全。 </w:t>
      </w:r>
    </w:p>
    <w:p>
      <w:pPr>
        <w:pStyle w:val="19"/>
        <w:rPr>
          <w:rFonts w:hint="eastAsia" w:ascii="宋体" w:hAnsi="宋体" w:eastAsia="宋体" w:cs="宋体"/>
          <w:b/>
          <w:bCs/>
        </w:rPr>
      </w:pPr>
      <w:r>
        <w:rPr>
          <w:rFonts w:hint="eastAsia" w:ascii="宋体" w:hAnsi="宋体" w:eastAsia="宋体" w:cs="宋体"/>
          <w:b/>
          <w:bCs/>
          <w:lang w:val="en-US" w:eastAsia="zh-CN"/>
        </w:rPr>
        <w:t xml:space="preserve">二、实施范围 </w:t>
      </w:r>
    </w:p>
    <w:p>
      <w:pPr>
        <w:pStyle w:val="19"/>
        <w:rPr>
          <w:rFonts w:hint="eastAsia" w:ascii="宋体" w:hAnsi="宋体" w:eastAsia="宋体" w:cs="宋体"/>
        </w:rPr>
      </w:pPr>
      <w:r>
        <w:rPr>
          <w:rFonts w:hint="eastAsia" w:ascii="宋体" w:hAnsi="宋体" w:eastAsia="宋体" w:cs="宋体"/>
          <w:lang w:val="en-US" w:eastAsia="zh-CN"/>
        </w:rPr>
        <w:t xml:space="preserve">凡属政府主导规划建设的基础设施等领域项目，依法依规能够实行社会资本融资的，均可通过相关方式投资、建设、经营。对燃气、热力等经营性领域项目，可依法放开建设和经营市场，积极推行投资运营主体招商，推进市场化运作，政府财政资金不再直接投入；对城市轨道交通、污水处理等准经营性领域项目，可合理选择建设—移交（BT）、建设—经营—移交（BOT）、公共私营合作制（PPP）、股权投资等方式，并通过建立投资、补贴与价格的协同机制，为投资人获得合理回报创造条件；对排水管线、城市道路等非经营性领域项目，可采取BT、土地综合开发等方式组织实施。为贯彻实施财政部《关于推广运用政府和社会资本合作模式有关问题的通知》（财金〔2014〕76号），鼓励优先采用公共私营合作制（PPP）方式。 </w:t>
      </w:r>
    </w:p>
    <w:p>
      <w:pPr>
        <w:pStyle w:val="19"/>
        <w:rPr>
          <w:rFonts w:hint="eastAsia" w:ascii="宋体" w:hAnsi="宋体" w:eastAsia="宋体" w:cs="宋体"/>
        </w:rPr>
      </w:pPr>
      <w:r>
        <w:rPr>
          <w:rFonts w:hint="eastAsia" w:ascii="宋体" w:hAnsi="宋体" w:eastAsia="宋体" w:cs="宋体"/>
          <w:lang w:val="en-US" w:eastAsia="zh-CN"/>
        </w:rPr>
        <w:t xml:space="preserve">按照“增量先行、存量跟进，试点推动、分步实施”的工作思路，近期，市发展改革委会同相关部门、区（市），筛选轨道交通、城市道路、高速公路、公共停车场、医疗设施、固废处置、污水处理、公交枢纽、港口码头等条件相对成熟的领域，推出首批示范项目向社会公开招商推介。下一步，在总结经验的基础上，采取滚动推介模式，逐步扩大市场化建设的规模和领域。 </w:t>
      </w:r>
    </w:p>
    <w:p>
      <w:pPr>
        <w:pStyle w:val="19"/>
        <w:rPr>
          <w:rFonts w:hint="eastAsia" w:ascii="宋体" w:hAnsi="宋体" w:eastAsia="宋体" w:cs="宋体"/>
        </w:rPr>
      </w:pPr>
      <w:r>
        <w:rPr>
          <w:rFonts w:hint="eastAsia" w:ascii="宋体" w:hAnsi="宋体" w:eastAsia="宋体" w:cs="宋体"/>
          <w:lang w:val="en-US" w:eastAsia="zh-CN"/>
        </w:rPr>
        <w:t xml:space="preserve">1、城市供水、污水处理厂。按照“企业建厂、政府配网”的原则，新建项目可采用BOT、BOOT（建设—拥有—经营—转让）、股权投资等方式，已建成项目可采用TOT（移交—经营—移交）或委托运营等方式。 </w:t>
      </w:r>
    </w:p>
    <w:p>
      <w:pPr>
        <w:pStyle w:val="19"/>
        <w:rPr>
          <w:rFonts w:hint="eastAsia" w:ascii="宋体" w:hAnsi="宋体" w:eastAsia="宋体" w:cs="宋体"/>
        </w:rPr>
      </w:pPr>
      <w:r>
        <w:rPr>
          <w:rFonts w:hint="eastAsia" w:ascii="宋体" w:hAnsi="宋体" w:eastAsia="宋体" w:cs="宋体"/>
          <w:lang w:val="en-US" w:eastAsia="zh-CN"/>
        </w:rPr>
        <w:t xml:space="preserve">2、生活垃圾和固废处置。新建项目可采用BOT、PPP、股权投资等方式，建成项目可采用TOT或委托运营等方式。 </w:t>
      </w:r>
    </w:p>
    <w:p>
      <w:pPr>
        <w:pStyle w:val="19"/>
        <w:rPr>
          <w:rFonts w:hint="eastAsia" w:ascii="宋体" w:hAnsi="宋体" w:eastAsia="宋体" w:cs="宋体"/>
        </w:rPr>
      </w:pPr>
      <w:r>
        <w:rPr>
          <w:rFonts w:hint="eastAsia" w:ascii="宋体" w:hAnsi="宋体" w:eastAsia="宋体" w:cs="宋体"/>
          <w:lang w:val="en-US" w:eastAsia="zh-CN"/>
        </w:rPr>
        <w:t xml:space="preserve">3、轨道交通。新建线路可采用PPP、BOT、BT、轨道+物业综合开发等方式，在建线路可采用PPP、股权融资或股权融资+委托运营等方式。 </w:t>
      </w:r>
    </w:p>
    <w:p>
      <w:pPr>
        <w:pStyle w:val="19"/>
        <w:rPr>
          <w:rFonts w:hint="eastAsia" w:ascii="宋体" w:hAnsi="宋体" w:eastAsia="宋体" w:cs="宋体"/>
        </w:rPr>
      </w:pPr>
      <w:r>
        <w:rPr>
          <w:rFonts w:hint="eastAsia" w:ascii="宋体" w:hAnsi="宋体" w:eastAsia="宋体" w:cs="宋体"/>
          <w:lang w:val="en-US" w:eastAsia="zh-CN"/>
        </w:rPr>
        <w:t xml:space="preserve">4、高速公路、城市道路和隧道。高速公路可采取BT、BOT等方式，城市道路主要采用BT方式，隧道可采用BT、BOT以及股权投资等方式。 </w:t>
      </w:r>
    </w:p>
    <w:p>
      <w:pPr>
        <w:pStyle w:val="19"/>
        <w:rPr>
          <w:rFonts w:hint="eastAsia" w:ascii="宋体" w:hAnsi="宋体" w:eastAsia="宋体" w:cs="宋体"/>
        </w:rPr>
      </w:pPr>
      <w:r>
        <w:rPr>
          <w:rFonts w:hint="eastAsia" w:ascii="宋体" w:hAnsi="宋体" w:eastAsia="宋体" w:cs="宋体"/>
          <w:lang w:val="en-US" w:eastAsia="zh-CN"/>
        </w:rPr>
        <w:t xml:space="preserve">5、综合交通枢纽。周边土地资源丰富的交通枢纽项目，在条件允许的情况下，可采取综合开发建设模式。将公益性的交通枢纽和经营性开发项目作为整体，捆绑实施。 </w:t>
      </w:r>
    </w:p>
    <w:p>
      <w:pPr>
        <w:pStyle w:val="19"/>
        <w:rPr>
          <w:rFonts w:hint="eastAsia" w:ascii="宋体" w:hAnsi="宋体" w:eastAsia="宋体" w:cs="宋体"/>
        </w:rPr>
      </w:pPr>
      <w:r>
        <w:rPr>
          <w:rFonts w:hint="eastAsia" w:ascii="宋体" w:hAnsi="宋体" w:eastAsia="宋体" w:cs="宋体"/>
          <w:lang w:val="en-US" w:eastAsia="zh-CN"/>
        </w:rPr>
        <w:t xml:space="preserve">6、公共停车场。可采用PPP、BOT、综合开发方式等，并鼓励企业直接投资。 </w:t>
      </w:r>
    </w:p>
    <w:p>
      <w:pPr>
        <w:pStyle w:val="19"/>
        <w:rPr>
          <w:rFonts w:hint="eastAsia" w:ascii="宋体" w:hAnsi="宋体" w:eastAsia="宋体" w:cs="宋体"/>
        </w:rPr>
      </w:pPr>
      <w:r>
        <w:rPr>
          <w:rFonts w:hint="eastAsia" w:ascii="宋体" w:hAnsi="宋体" w:eastAsia="宋体" w:cs="宋体"/>
          <w:lang w:val="en-US" w:eastAsia="zh-CN"/>
        </w:rPr>
        <w:t xml:space="preserve">7、港口码头，可采取股权合作或合资合作等方式。 </w:t>
      </w:r>
    </w:p>
    <w:p>
      <w:pPr>
        <w:pStyle w:val="19"/>
        <w:rPr>
          <w:rFonts w:hint="eastAsia" w:ascii="宋体" w:hAnsi="宋体" w:eastAsia="宋体" w:cs="宋体"/>
        </w:rPr>
      </w:pPr>
      <w:r>
        <w:rPr>
          <w:rFonts w:hint="eastAsia" w:ascii="宋体" w:hAnsi="宋体" w:eastAsia="宋体" w:cs="宋体"/>
          <w:lang w:val="en-US" w:eastAsia="zh-CN"/>
        </w:rPr>
        <w:t xml:space="preserve">8、其他领域。医疗、养老等领域中的非基本公共服务项目鼓励企业直接投资。 </w:t>
      </w:r>
    </w:p>
    <w:p>
      <w:pPr>
        <w:pStyle w:val="19"/>
        <w:rPr>
          <w:rFonts w:hint="eastAsia" w:ascii="宋体" w:hAnsi="宋体" w:eastAsia="宋体" w:cs="宋体"/>
          <w:b/>
          <w:bCs/>
        </w:rPr>
      </w:pPr>
      <w:r>
        <w:rPr>
          <w:rFonts w:hint="eastAsia" w:ascii="宋体" w:hAnsi="宋体" w:eastAsia="宋体" w:cs="宋体"/>
          <w:b/>
          <w:bCs/>
          <w:lang w:val="en-US" w:eastAsia="zh-CN"/>
        </w:rPr>
        <w:t xml:space="preserve">三、基本政策 </w:t>
      </w:r>
    </w:p>
    <w:p>
      <w:pPr>
        <w:pStyle w:val="19"/>
        <w:rPr>
          <w:rFonts w:hint="eastAsia" w:ascii="宋体" w:hAnsi="宋体" w:eastAsia="宋体" w:cs="宋体"/>
        </w:rPr>
      </w:pPr>
      <w:r>
        <w:rPr>
          <w:rFonts w:hint="eastAsia" w:ascii="宋体" w:hAnsi="宋体" w:eastAsia="宋体" w:cs="宋体"/>
          <w:lang w:val="en-US" w:eastAsia="zh-CN"/>
        </w:rPr>
        <w:t xml:space="preserve">（一）建立多渠道的投资回报补偿机制 </w:t>
      </w:r>
    </w:p>
    <w:p>
      <w:pPr>
        <w:pStyle w:val="19"/>
        <w:rPr>
          <w:rFonts w:hint="eastAsia" w:ascii="宋体" w:hAnsi="宋体" w:eastAsia="宋体" w:cs="宋体"/>
        </w:rPr>
      </w:pPr>
      <w:r>
        <w:rPr>
          <w:rFonts w:hint="eastAsia" w:ascii="宋体" w:hAnsi="宋体" w:eastAsia="宋体" w:cs="宋体"/>
          <w:lang w:val="en-US" w:eastAsia="zh-CN"/>
        </w:rPr>
        <w:t xml:space="preserve">通过政府投入、市场竞争、购买服务、赋权开发或经营等多种模式，有效减少企业投资压力、降低成本、增加收入，保障企业取得合理回报。准经营性项目可通过政府投入引导性资金，提供贷款贴息，授予特许经营权，出让有偿供给权（如冠名权、广告经营权等），解决投资方的投资回报。 </w:t>
      </w:r>
    </w:p>
    <w:p>
      <w:pPr>
        <w:pStyle w:val="19"/>
        <w:rPr>
          <w:rFonts w:hint="eastAsia" w:ascii="宋体" w:hAnsi="宋体" w:eastAsia="宋体" w:cs="宋体"/>
        </w:rPr>
      </w:pPr>
      <w:r>
        <w:rPr>
          <w:rFonts w:hint="eastAsia" w:ascii="宋体" w:hAnsi="宋体" w:eastAsia="宋体" w:cs="宋体"/>
          <w:lang w:val="en-US" w:eastAsia="zh-CN"/>
        </w:rPr>
        <w:t xml:space="preserve">（二）改革市政设施项目投资建设模式 </w:t>
      </w:r>
    </w:p>
    <w:p>
      <w:pPr>
        <w:pStyle w:val="19"/>
        <w:rPr>
          <w:rFonts w:hint="eastAsia" w:ascii="宋体" w:hAnsi="宋体" w:eastAsia="宋体" w:cs="宋体"/>
        </w:rPr>
      </w:pPr>
      <w:r>
        <w:rPr>
          <w:rFonts w:hint="eastAsia" w:ascii="宋体" w:hAnsi="宋体" w:eastAsia="宋体" w:cs="宋体"/>
          <w:lang w:val="en-US" w:eastAsia="zh-CN"/>
        </w:rPr>
        <w:t xml:space="preserve">鼓励打破以项目为单位的分散运营模式，实行规模化经营，降低建设和运营成本，提高投资效益。推进区（市）和乡（镇）垃圾、污水处理项目“打包”投资和运营。推行特许经营制度，通过招标选择符合要求的经营者，鼓励社会资本依法开展特许经营活动。进一步完善市政公用事业服务价格形成、调整和补偿机制，使投资经营者能够获得合理收益。 </w:t>
      </w:r>
    </w:p>
    <w:p>
      <w:pPr>
        <w:pStyle w:val="19"/>
        <w:rPr>
          <w:rFonts w:hint="eastAsia" w:ascii="宋体" w:hAnsi="宋体" w:eastAsia="宋体" w:cs="宋体"/>
        </w:rPr>
      </w:pPr>
      <w:r>
        <w:rPr>
          <w:rFonts w:hint="eastAsia" w:ascii="宋体" w:hAnsi="宋体" w:eastAsia="宋体" w:cs="宋体"/>
          <w:lang w:val="en-US" w:eastAsia="zh-CN"/>
        </w:rPr>
        <w:t xml:space="preserve">（三）建立科学灵活的价格形成机制 </w:t>
      </w:r>
    </w:p>
    <w:p>
      <w:pPr>
        <w:pStyle w:val="19"/>
        <w:rPr>
          <w:rFonts w:hint="eastAsia" w:ascii="宋体" w:hAnsi="宋体" w:eastAsia="宋体" w:cs="宋体"/>
        </w:rPr>
      </w:pPr>
      <w:r>
        <w:rPr>
          <w:rFonts w:hint="eastAsia" w:ascii="宋体" w:hAnsi="宋体" w:eastAsia="宋体" w:cs="宋体"/>
          <w:lang w:val="en-US" w:eastAsia="zh-CN"/>
        </w:rPr>
        <w:t xml:space="preserve">除国家、省规定实行政府定价、政府指导价外，经营性领域项目可实行市场定价。特许经营项目的经营者在向公众提供产品或者服务时，应执行政府定价或政府指导价；执行政府定价或政府指导价后无法收回成本、取得合理收益的，可在协议中约定按照中标或者协议价格与政府进行经济结算。政府要建立定期审价制度，逐步调整理顺价格收费水平。 </w:t>
      </w:r>
    </w:p>
    <w:p>
      <w:pPr>
        <w:pStyle w:val="19"/>
        <w:rPr>
          <w:rFonts w:hint="eastAsia" w:ascii="宋体" w:hAnsi="宋体" w:eastAsia="宋体" w:cs="宋体"/>
        </w:rPr>
      </w:pPr>
      <w:r>
        <w:rPr>
          <w:rFonts w:hint="eastAsia" w:ascii="宋体" w:hAnsi="宋体" w:eastAsia="宋体" w:cs="宋体"/>
          <w:lang w:val="en-US" w:eastAsia="zh-CN"/>
        </w:rPr>
        <w:t xml:space="preserve">（四）实施合法合理的土地使用政策 </w:t>
      </w:r>
    </w:p>
    <w:p>
      <w:pPr>
        <w:pStyle w:val="19"/>
        <w:rPr>
          <w:rFonts w:hint="eastAsia" w:ascii="宋体" w:hAnsi="宋体" w:eastAsia="宋体" w:cs="宋体"/>
        </w:rPr>
      </w:pPr>
      <w:r>
        <w:rPr>
          <w:rFonts w:hint="eastAsia" w:ascii="宋体" w:hAnsi="宋体" w:eastAsia="宋体" w:cs="宋体"/>
          <w:lang w:val="en-US" w:eastAsia="zh-CN"/>
        </w:rPr>
        <w:t xml:space="preserve">城市基础设施项目，原则以划拨方式供地。土地使用权期限与特许经营期限一致，特许经营期满后，应连同地上物一并无偿移交政府。涉及一体化建设的项目，视具体情况采取协议出让、租赁、招标拍卖挂牌出让等方式供地。鼓励土地使用权人在符合规划的前提下利用自有土地建设市政基础设施。通过综合一体化开发建设的轨道交通项目，可按国家规定享受土地优惠政策。 </w:t>
      </w:r>
    </w:p>
    <w:p>
      <w:pPr>
        <w:pStyle w:val="19"/>
        <w:rPr>
          <w:rFonts w:hint="eastAsia" w:ascii="宋体" w:hAnsi="宋体" w:eastAsia="宋体" w:cs="宋体"/>
        </w:rPr>
      </w:pPr>
      <w:r>
        <w:rPr>
          <w:rFonts w:hint="eastAsia" w:ascii="宋体" w:hAnsi="宋体" w:eastAsia="宋体" w:cs="宋体"/>
          <w:lang w:val="en-US" w:eastAsia="zh-CN"/>
        </w:rPr>
        <w:t xml:space="preserve">（五）享受审批“绿色通道”政策 </w:t>
      </w:r>
    </w:p>
    <w:p>
      <w:pPr>
        <w:pStyle w:val="19"/>
        <w:rPr>
          <w:rFonts w:hint="eastAsia" w:ascii="宋体" w:hAnsi="宋体" w:eastAsia="宋体" w:cs="宋体"/>
        </w:rPr>
      </w:pPr>
      <w:r>
        <w:rPr>
          <w:rFonts w:hint="eastAsia" w:ascii="宋体" w:hAnsi="宋体" w:eastAsia="宋体" w:cs="宋体"/>
          <w:lang w:val="en-US" w:eastAsia="zh-CN"/>
        </w:rPr>
        <w:t xml:space="preserve">对社会资本投资公共设施项目，符合条件的可实行核准或备案制，并可进入审批“绿色通道”，实行先容缺受理、容缺审查，再转正式审批、正式办理；项目立项和规划方案初步审查可同时进行。取消所有非法定项目审批程序和前置要件，具备审批条件且无法定办理期限的项目，1个工作日办结。 </w:t>
      </w:r>
    </w:p>
    <w:p>
      <w:pPr>
        <w:pStyle w:val="19"/>
        <w:rPr>
          <w:rFonts w:hint="eastAsia" w:ascii="宋体" w:hAnsi="宋体" w:eastAsia="宋体" w:cs="宋体"/>
          <w:b/>
          <w:bCs/>
        </w:rPr>
      </w:pPr>
      <w:r>
        <w:rPr>
          <w:rFonts w:hint="eastAsia" w:ascii="宋体" w:hAnsi="宋体" w:eastAsia="宋体" w:cs="宋体"/>
          <w:b/>
          <w:bCs/>
          <w:lang w:val="en-US" w:eastAsia="zh-CN"/>
        </w:rPr>
        <w:t xml:space="preserve">四、保障机制 </w:t>
      </w:r>
    </w:p>
    <w:p>
      <w:pPr>
        <w:pStyle w:val="19"/>
        <w:rPr>
          <w:rFonts w:hint="eastAsia" w:ascii="宋体" w:hAnsi="宋体" w:eastAsia="宋体" w:cs="宋体"/>
        </w:rPr>
      </w:pPr>
      <w:r>
        <w:rPr>
          <w:rFonts w:hint="eastAsia" w:ascii="宋体" w:hAnsi="宋体" w:eastAsia="宋体" w:cs="宋体"/>
          <w:lang w:val="en-US" w:eastAsia="zh-CN"/>
        </w:rPr>
        <w:t xml:space="preserve">（一）动态发布信息 </w:t>
      </w:r>
    </w:p>
    <w:p>
      <w:pPr>
        <w:pStyle w:val="19"/>
        <w:rPr>
          <w:rFonts w:hint="eastAsia" w:ascii="宋体" w:hAnsi="宋体" w:eastAsia="宋体" w:cs="宋体"/>
        </w:rPr>
      </w:pPr>
      <w:r>
        <w:rPr>
          <w:rFonts w:hint="eastAsia" w:ascii="宋体" w:hAnsi="宋体" w:eastAsia="宋体" w:cs="宋体"/>
          <w:lang w:val="en-US" w:eastAsia="zh-CN"/>
        </w:rPr>
        <w:t xml:space="preserve">每年，由市发改委组织各相关单位筛选提出一批吸引社会资本项目，及时向社会发布相关信息。对向社会招标、招商的项目，应事先明确项目名称、内容，经营期限，产品或服务数量、质量和标准，投资构成，投资回报方式，必要的政府投资、财政补贴及政府承诺等事项，向社会公布，方便企业公平参与。 </w:t>
      </w:r>
    </w:p>
    <w:p>
      <w:pPr>
        <w:pStyle w:val="19"/>
        <w:rPr>
          <w:rFonts w:hint="eastAsia" w:ascii="宋体" w:hAnsi="宋体" w:eastAsia="宋体" w:cs="宋体"/>
        </w:rPr>
      </w:pPr>
      <w:r>
        <w:rPr>
          <w:rFonts w:hint="eastAsia" w:ascii="宋体" w:hAnsi="宋体" w:eastAsia="宋体" w:cs="宋体"/>
          <w:lang w:val="en-US" w:eastAsia="zh-CN"/>
        </w:rPr>
        <w:t xml:space="preserve">（二）明确职责分工 </w:t>
      </w:r>
    </w:p>
    <w:p>
      <w:pPr>
        <w:pStyle w:val="19"/>
        <w:rPr>
          <w:rFonts w:hint="eastAsia" w:ascii="宋体" w:hAnsi="宋体" w:eastAsia="宋体" w:cs="宋体"/>
        </w:rPr>
      </w:pPr>
      <w:r>
        <w:rPr>
          <w:rFonts w:hint="eastAsia" w:ascii="宋体" w:hAnsi="宋体" w:eastAsia="宋体" w:cs="宋体"/>
          <w:lang w:val="en-US" w:eastAsia="zh-CN"/>
        </w:rPr>
        <w:t xml:space="preserve">针对具体项目，责任单位或主管部门要研究制定吸引社会资本投资的细化实施方案，及时公布行业标准，加强与社会专业服务机构、产业联盟的业务合作，公平择优开展招商工作，并协调组织项目实施。各职能审批部门要优化流程，提高效率，做好各项审批服务工作；各配套单位要大力支持项目的建设和运营，确保投资项目能发挥最佳作用；各区市政府负责组织实施区域内项目的市场化建设，落实属地责任。 </w:t>
      </w:r>
    </w:p>
    <w:p>
      <w:pPr>
        <w:pStyle w:val="19"/>
        <w:rPr>
          <w:rFonts w:hint="eastAsia" w:ascii="宋体" w:hAnsi="宋体" w:eastAsia="宋体" w:cs="宋体"/>
        </w:rPr>
      </w:pPr>
      <w:r>
        <w:rPr>
          <w:rFonts w:hint="eastAsia" w:ascii="宋体" w:hAnsi="宋体" w:eastAsia="宋体" w:cs="宋体"/>
          <w:lang w:val="en-US" w:eastAsia="zh-CN"/>
        </w:rPr>
        <w:t xml:space="preserve">（三）确定退出路径 </w:t>
      </w:r>
    </w:p>
    <w:p>
      <w:pPr>
        <w:pStyle w:val="19"/>
        <w:rPr>
          <w:rFonts w:hint="eastAsia" w:ascii="宋体" w:hAnsi="宋体" w:eastAsia="宋体" w:cs="宋体"/>
        </w:rPr>
      </w:pPr>
      <w:r>
        <w:rPr>
          <w:rFonts w:hint="eastAsia" w:ascii="宋体" w:hAnsi="宋体" w:eastAsia="宋体" w:cs="宋体"/>
          <w:lang w:val="en-US" w:eastAsia="zh-CN"/>
        </w:rPr>
        <w:t xml:space="preserve">项目责任单位要与投资者明确协商机制和退出路径，避免投资人损害公众利益。在合作期限结束、投资者不再继续进行投资经营活动时，应及时选择新的投资经营者，或组织临时接管，妥善处理投资回收、资产处理等事宜，保障项目持续投资经营。 </w:t>
      </w:r>
    </w:p>
    <w:p>
      <w:pPr>
        <w:pStyle w:val="19"/>
        <w:rPr>
          <w:rFonts w:hint="eastAsia" w:ascii="宋体" w:hAnsi="宋体" w:eastAsia="宋体" w:cs="宋体"/>
        </w:rPr>
      </w:pPr>
      <w:r>
        <w:rPr>
          <w:rFonts w:hint="eastAsia" w:ascii="宋体" w:hAnsi="宋体" w:eastAsia="宋体" w:cs="宋体"/>
          <w:lang w:val="en-US" w:eastAsia="zh-CN"/>
        </w:rPr>
        <w:t xml:space="preserve">（四）加强风险监管 </w:t>
      </w:r>
    </w:p>
    <w:p>
      <w:pPr>
        <w:pStyle w:val="19"/>
        <w:rPr>
          <w:rFonts w:hint="eastAsia" w:ascii="宋体" w:hAnsi="宋体" w:eastAsia="宋体" w:cs="宋体"/>
        </w:rPr>
      </w:pPr>
      <w:r>
        <w:rPr>
          <w:rFonts w:hint="eastAsia" w:ascii="宋体" w:hAnsi="宋体" w:eastAsia="宋体" w:cs="宋体"/>
          <w:lang w:val="en-US" w:eastAsia="zh-CN"/>
        </w:rPr>
        <w:t xml:space="preserve">政府主管部门和投资者应对可能产生的政策风险、商业风险、法律风险等进行充分论证，完善合同设计，健全纠纷解决机制和风险防范机制。各实施责任单位要加强内控管理，建立有效的监督机制，防止在招商对接、建设运营监管中出现违规现象。各相关单位要依照有关法律法规的要求，协助社会投资主体办理投资建设手续，督促其严格遵守环保、用地、节能、质量、安全等规定，指导企业建立规范的产权、财务、用工等制度，依法经营。 </w:t>
      </w:r>
    </w:p>
    <w:p>
      <w:pPr>
        <w:pStyle w:val="19"/>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826101C"/>
    <w:rsid w:val="083B2E68"/>
    <w:rsid w:val="08673D2A"/>
    <w:rsid w:val="172E5427"/>
    <w:rsid w:val="17EE545F"/>
    <w:rsid w:val="198860F9"/>
    <w:rsid w:val="1B0A3499"/>
    <w:rsid w:val="208E165E"/>
    <w:rsid w:val="2182268D"/>
    <w:rsid w:val="24EC5364"/>
    <w:rsid w:val="251865EA"/>
    <w:rsid w:val="275012D1"/>
    <w:rsid w:val="28461F24"/>
    <w:rsid w:val="36EA50A7"/>
    <w:rsid w:val="37C1347B"/>
    <w:rsid w:val="39E113F5"/>
    <w:rsid w:val="3B2F6EF7"/>
    <w:rsid w:val="3B3C4D54"/>
    <w:rsid w:val="3CDF67F3"/>
    <w:rsid w:val="3D9A530C"/>
    <w:rsid w:val="41193F13"/>
    <w:rsid w:val="4B4F1F4F"/>
    <w:rsid w:val="4D765109"/>
    <w:rsid w:val="4EFF5BB2"/>
    <w:rsid w:val="572040A1"/>
    <w:rsid w:val="575C6B12"/>
    <w:rsid w:val="5CEA6EFD"/>
    <w:rsid w:val="5FFD6D65"/>
    <w:rsid w:val="6080698E"/>
    <w:rsid w:val="64013AF7"/>
    <w:rsid w:val="65A31D7F"/>
    <w:rsid w:val="6C7675A4"/>
    <w:rsid w:val="70283050"/>
    <w:rsid w:val="71A242AF"/>
    <w:rsid w:val="72F907FB"/>
    <w:rsid w:val="7584598A"/>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607FA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uiPriority w:val="0"/>
    <w:rPr>
      <w:bdr w:val="none" w:color="auto" w:sz="0" w:space="0"/>
    </w:rPr>
  </w:style>
  <w:style w:type="character" w:styleId="12">
    <w:name w:val="HTML Variable"/>
    <w:basedOn w:val="6"/>
    <w:qFormat/>
    <w:uiPriority w:val="0"/>
  </w:style>
  <w:style w:type="character" w:styleId="13">
    <w:name w:val="Hyperlink"/>
    <w:basedOn w:val="6"/>
    <w:qFormat/>
    <w:uiPriority w:val="0"/>
    <w:rPr>
      <w:color w:val="607FA6"/>
      <w:u w:val="none"/>
    </w:rPr>
  </w:style>
  <w:style w:type="character" w:styleId="14">
    <w:name w:val="HTML Code"/>
    <w:basedOn w:val="6"/>
    <w:qFormat/>
    <w:uiPriority w:val="0"/>
    <w:rPr>
      <w:rFonts w:ascii="Menlo" w:hAnsi="Menlo" w:eastAsia="Menlo" w:cs="Menlo"/>
      <w:color w:val="C7254E"/>
      <w:sz w:val="21"/>
      <w:szCs w:val="21"/>
      <w:shd w:val="clear" w:fill="F9F2F4"/>
    </w:rPr>
  </w:style>
  <w:style w:type="character" w:styleId="15">
    <w:name w:val="HTML Cite"/>
    <w:basedOn w:val="6"/>
    <w:qFormat/>
    <w:uiPriority w:val="0"/>
  </w:style>
  <w:style w:type="character" w:styleId="16">
    <w:name w:val="HTML Keyboard"/>
    <w:basedOn w:val="6"/>
    <w:qFormat/>
    <w:uiPriority w:val="0"/>
    <w:rPr>
      <w:rFonts w:hint="default" w:ascii="Menlo" w:hAnsi="Menlo" w:eastAsia="Menlo" w:cs="Menlo"/>
      <w:color w:val="FFFFFF"/>
      <w:sz w:val="21"/>
      <w:szCs w:val="21"/>
      <w:shd w:val="clear" w:fill="333333"/>
    </w:rPr>
  </w:style>
  <w:style w:type="character" w:styleId="17">
    <w:name w:val="HTML Sample"/>
    <w:basedOn w:val="6"/>
    <w:qFormat/>
    <w:uiPriority w:val="0"/>
    <w:rPr>
      <w:rFonts w:hint="default" w:ascii="Menlo" w:hAnsi="Menlo" w:eastAsia="Menlo" w:cs="Menlo"/>
      <w:sz w:val="21"/>
      <w:szCs w:val="21"/>
    </w:rPr>
  </w:style>
  <w:style w:type="paragraph" w:customStyle="1" w:styleId="19">
    <w:name w:val="样式1"/>
    <w:basedOn w:val="1"/>
    <w:qFormat/>
    <w:uiPriority w:val="0"/>
    <w:pPr>
      <w:spacing w:before="10"/>
      <w:ind w:firstLine="420" w:firstLineChars="200"/>
    </w:pPr>
    <w:rPr>
      <w:rFonts w:asciiTheme="minorAscii" w:hAnsiTheme="minorAscii"/>
    </w:rPr>
  </w:style>
  <w:style w:type="character" w:customStyle="1" w:styleId="20">
    <w:name w:val="css_blue1"/>
    <w:basedOn w:val="6"/>
    <w:qFormat/>
    <w:uiPriority w:val="0"/>
    <w:rPr>
      <w:color w:val="4A81A8"/>
      <w:sz w:val="21"/>
      <w:szCs w:val="21"/>
    </w:rPr>
  </w:style>
  <w:style w:type="character" w:customStyle="1" w:styleId="21">
    <w:name w:val="rich_media_meta_nickname"/>
    <w:basedOn w:val="6"/>
    <w:qFormat/>
    <w:uiPriority w:val="0"/>
    <w:rPr>
      <w:vanish/>
    </w:rPr>
  </w:style>
  <w:style w:type="character" w:customStyle="1" w:styleId="22">
    <w:name w:val="rich_media_meta_nickname1"/>
    <w:basedOn w:val="6"/>
    <w:qFormat/>
    <w:uiPriority w:val="0"/>
  </w:style>
  <w:style w:type="character" w:customStyle="1" w:styleId="23">
    <w:name w:val="tz_input"/>
    <w:basedOn w:val="6"/>
    <w:qFormat/>
    <w:uiPriority w:val="0"/>
    <w:rPr>
      <w:color w:val="A01211"/>
      <w:sz w:val="24"/>
      <w:szCs w:val="24"/>
    </w:rPr>
  </w:style>
  <w:style w:type="character" w:customStyle="1" w:styleId="24">
    <w:name w:val="bg01"/>
    <w:basedOn w:val="6"/>
    <w:qFormat/>
    <w:uiPriority w:val="0"/>
  </w:style>
  <w:style w:type="character" w:customStyle="1" w:styleId="25">
    <w:name w:val="m01"/>
    <w:basedOn w:val="6"/>
    <w:qFormat/>
    <w:uiPriority w:val="0"/>
  </w:style>
  <w:style w:type="character" w:customStyle="1" w:styleId="26">
    <w:name w:val="m011"/>
    <w:basedOn w:val="6"/>
    <w:qFormat/>
    <w:uiPriority w:val="0"/>
  </w:style>
  <w:style w:type="character" w:customStyle="1" w:styleId="27">
    <w:name w:val="font"/>
    <w:basedOn w:val="6"/>
    <w:qFormat/>
    <w:uiPriority w:val="0"/>
  </w:style>
  <w:style w:type="character" w:customStyle="1" w:styleId="28">
    <w:name w:val="font1"/>
    <w:basedOn w:val="6"/>
    <w:qFormat/>
    <w:uiPriority w:val="0"/>
  </w:style>
  <w:style w:type="character" w:customStyle="1" w:styleId="29">
    <w:name w:val="bg02"/>
    <w:basedOn w:val="6"/>
    <w:qFormat/>
    <w:uiPriority w:val="0"/>
  </w:style>
  <w:style w:type="character" w:customStyle="1" w:styleId="30">
    <w:name w:val="tabg"/>
    <w:basedOn w:val="6"/>
    <w:qFormat/>
    <w:uiPriority w:val="0"/>
    <w:rPr>
      <w:color w:val="FFFFFF"/>
      <w:sz w:val="27"/>
      <w:szCs w:val="27"/>
    </w:rPr>
  </w:style>
  <w:style w:type="character" w:customStyle="1" w:styleId="31">
    <w:name w:val="more4"/>
    <w:basedOn w:val="6"/>
    <w:qFormat/>
    <w:uiPriority w:val="0"/>
    <w:rPr>
      <w:color w:val="666666"/>
      <w:sz w:val="18"/>
      <w:szCs w:val="18"/>
    </w:rPr>
  </w:style>
  <w:style w:type="character" w:customStyle="1" w:styleId="32">
    <w:name w:val="gwds_nopic"/>
    <w:basedOn w:val="6"/>
    <w:qFormat/>
    <w:uiPriority w:val="0"/>
  </w:style>
  <w:style w:type="character" w:customStyle="1" w:styleId="33">
    <w:name w:val="gwds_nopic1"/>
    <w:basedOn w:val="6"/>
    <w:qFormat/>
    <w:uiPriority w:val="0"/>
  </w:style>
  <w:style w:type="character" w:customStyle="1" w:styleId="34">
    <w:name w:val="gwds_nopic2"/>
    <w:basedOn w:val="6"/>
    <w:qFormat/>
    <w:uiPriority w:val="0"/>
  </w:style>
  <w:style w:type="character" w:customStyle="1" w:styleId="35">
    <w:name w:val="bds_more4"/>
    <w:basedOn w:val="6"/>
    <w:qFormat/>
    <w:uiPriority w:val="0"/>
  </w:style>
  <w:style w:type="character" w:customStyle="1" w:styleId="36">
    <w:name w:val="bds_nopic"/>
    <w:basedOn w:val="6"/>
    <w:qFormat/>
    <w:uiPriority w:val="0"/>
  </w:style>
  <w:style w:type="character" w:customStyle="1" w:styleId="37">
    <w:name w:val="bds_nopic1"/>
    <w:basedOn w:val="6"/>
    <w:qFormat/>
    <w:uiPriority w:val="0"/>
  </w:style>
  <w:style w:type="character" w:customStyle="1" w:styleId="38">
    <w:name w:val="bds_nopic2"/>
    <w:basedOn w:val="6"/>
    <w:qFormat/>
    <w:uiPriority w:val="0"/>
  </w:style>
  <w:style w:type="character" w:customStyle="1" w:styleId="39">
    <w:name w:val="bds_more3"/>
    <w:basedOn w:val="6"/>
    <w:qFormat/>
    <w:uiPriority w:val="0"/>
    <w:rPr>
      <w:rFonts w:hint="eastAsia" w:ascii="宋体" w:hAnsi="宋体" w:eastAsia="宋体" w:cs="宋体"/>
    </w:rPr>
  </w:style>
  <w:style w:type="character" w:customStyle="1" w:styleId="40">
    <w:name w:val="bds_more5"/>
    <w:basedOn w:val="6"/>
    <w:qFormat/>
    <w:uiPriority w:val="0"/>
  </w:style>
  <w:style w:type="character" w:customStyle="1" w:styleId="41">
    <w:name w:val="on"/>
    <w:basedOn w:val="6"/>
    <w:qFormat/>
    <w:uiPriority w:val="0"/>
    <w:rPr>
      <w:color w:val="FFFFFF"/>
    </w:rPr>
  </w:style>
  <w:style w:type="character" w:customStyle="1" w:styleId="42">
    <w:name w:val="cur"/>
    <w:basedOn w:val="6"/>
    <w:qFormat/>
    <w:uiPriority w:val="0"/>
    <w:rPr>
      <w:b/>
    </w:rPr>
  </w:style>
  <w:style w:type="character" w:customStyle="1" w:styleId="43">
    <w:name w:val="cur1"/>
    <w:basedOn w:val="6"/>
    <w:qFormat/>
    <w:uiPriority w:val="0"/>
    <w:rPr>
      <w:b/>
    </w:rPr>
  </w:style>
  <w:style w:type="character" w:customStyle="1" w:styleId="44">
    <w:name w:val="cur2"/>
    <w:basedOn w:val="6"/>
    <w:qFormat/>
    <w:uiPriority w:val="0"/>
    <w:rPr>
      <w:shd w:val="clear" w:fill="FF0000"/>
    </w:rPr>
  </w:style>
  <w:style w:type="character" w:customStyle="1" w:styleId="45">
    <w:name w:val="normal"/>
    <w:basedOn w:val="6"/>
    <w:qFormat/>
    <w:uiPriority w:val="0"/>
    <w:rPr>
      <w:color w:val="FFFFFF"/>
    </w:rPr>
  </w:style>
  <w:style w:type="character" w:customStyle="1" w:styleId="46">
    <w:name w:val="normal1"/>
    <w:basedOn w:val="6"/>
    <w:qFormat/>
    <w:uiPriority w:val="0"/>
    <w:rPr>
      <w:color w:val="FFFFFF"/>
    </w:rPr>
  </w:style>
  <w:style w:type="character" w:customStyle="1" w:styleId="47">
    <w:name w:val="normal2"/>
    <w:basedOn w:val="6"/>
    <w:qFormat/>
    <w:uiPriority w:val="0"/>
    <w:rPr>
      <w:color w:val="000000"/>
    </w:rPr>
  </w:style>
  <w:style w:type="character" w:customStyle="1" w:styleId="48">
    <w:name w:val="more"/>
    <w:basedOn w:val="6"/>
    <w:qFormat/>
    <w:uiPriority w:val="0"/>
    <w:rPr>
      <w:color w:val="666666"/>
      <w:sz w:val="18"/>
      <w:szCs w:val="18"/>
    </w:rPr>
  </w:style>
  <w:style w:type="character" w:customStyle="1" w:styleId="49">
    <w:name w:val="tn-zhishi"/>
    <w:basedOn w:val="6"/>
    <w:qFormat/>
    <w:uiPriority w:val="0"/>
    <w:rPr>
      <w:shd w:val="clear" w:fill="8B6124"/>
    </w:rPr>
  </w:style>
  <w:style w:type="character" w:customStyle="1" w:styleId="50">
    <w:name w:val="hover57"/>
    <w:basedOn w:val="6"/>
    <w:qFormat/>
    <w:uiPriority w:val="0"/>
    <w:rPr>
      <w:shd w:val="clear" w:fill="F3F3F3"/>
    </w:rPr>
  </w:style>
  <w:style w:type="character" w:customStyle="1" w:styleId="51">
    <w:name w:val="hover58"/>
    <w:basedOn w:val="6"/>
    <w:qFormat/>
    <w:uiPriority w:val="0"/>
    <w:rPr>
      <w:shd w:val="clear" w:fill="F3F3F3"/>
    </w:rPr>
  </w:style>
  <w:style w:type="character" w:customStyle="1" w:styleId="52">
    <w:name w:val="hover59"/>
    <w:basedOn w:val="6"/>
    <w:qFormat/>
    <w:uiPriority w:val="0"/>
    <w:rPr>
      <w:shd w:val="clear" w:fill="F3F3F3"/>
    </w:rPr>
  </w:style>
  <w:style w:type="character" w:customStyle="1" w:styleId="53">
    <w:name w:val="hover60"/>
    <w:basedOn w:val="6"/>
    <w:qFormat/>
    <w:uiPriority w:val="0"/>
    <w:rPr>
      <w:shd w:val="clear" w:fill="F3F3F3"/>
    </w:rPr>
  </w:style>
  <w:style w:type="character" w:customStyle="1" w:styleId="54">
    <w:name w:val="tn-fuwu"/>
    <w:basedOn w:val="6"/>
    <w:qFormat/>
    <w:uiPriority w:val="0"/>
    <w:rPr>
      <w:shd w:val="clear" w:fill="DA5026"/>
    </w:rPr>
  </w:style>
  <w:style w:type="character" w:customStyle="1" w:styleId="55">
    <w:name w:val="tn-jingpin"/>
    <w:basedOn w:val="6"/>
    <w:qFormat/>
    <w:uiPriority w:val="0"/>
    <w:rPr>
      <w:shd w:val="clear" w:fill="1D79B7"/>
    </w:rPr>
  </w:style>
  <w:style w:type="character" w:customStyle="1" w:styleId="56">
    <w:name w:val="tn-diqu"/>
    <w:basedOn w:val="6"/>
    <w:qFormat/>
    <w:uiPriority w:val="0"/>
    <w:rPr>
      <w:shd w:val="clear" w:fill="669330"/>
    </w:rPr>
  </w:style>
  <w:style w:type="character" w:customStyle="1" w:styleId="57">
    <w:name w:val="bds_more"/>
    <w:basedOn w:val="6"/>
    <w:qFormat/>
    <w:uiPriority w:val="0"/>
    <w:rPr>
      <w:rFonts w:hint="eastAsia" w:ascii="宋体" w:hAnsi="宋体" w:eastAsia="宋体" w:cs="宋体"/>
    </w:rPr>
  </w:style>
  <w:style w:type="character" w:customStyle="1" w:styleId="58">
    <w:name w:val="bds_more1"/>
    <w:basedOn w:val="6"/>
    <w:qFormat/>
    <w:uiPriority w:val="0"/>
  </w:style>
  <w:style w:type="character" w:customStyle="1" w:styleId="59">
    <w:name w:val="bds_more2"/>
    <w:basedOn w:val="6"/>
    <w:qFormat/>
    <w:uiPriority w:val="0"/>
  </w:style>
  <w:style w:type="paragraph" w:customStyle="1" w:styleId="60">
    <w:name w:val="pbj"/>
    <w:basedOn w:val="1"/>
    <w:qFormat/>
    <w:uiPriority w:val="0"/>
    <w:pPr>
      <w:jc w:val="left"/>
    </w:pPr>
    <w:rPr>
      <w:kern w:val="0"/>
      <w:lang w:val="en-US" w:eastAsia="zh-CN" w:bidi="ar"/>
    </w:rPr>
  </w:style>
  <w:style w:type="character" w:customStyle="1" w:styleId="61">
    <w:name w:val="time"/>
    <w:basedOn w:val="6"/>
    <w:qFormat/>
    <w:uiPriority w:val="0"/>
    <w:rPr>
      <w:color w:val="777777"/>
    </w:rPr>
  </w:style>
  <w:style w:type="character" w:customStyle="1" w:styleId="62">
    <w:name w:val="onselect"/>
    <w:basedOn w:val="6"/>
    <w:qFormat/>
    <w:uiPriority w:val="0"/>
    <w:rPr>
      <w:shd w:val="clear" w:fill="FF0000"/>
    </w:rPr>
  </w:style>
  <w:style w:type="character" w:customStyle="1" w:styleId="63">
    <w:name w:val="hover17"/>
    <w:basedOn w:val="6"/>
    <w:qFormat/>
    <w:uiPriority w:val="0"/>
    <w:rPr>
      <w:color w:val="FFFFFF"/>
      <w:shd w:val="clear" w:fill="F9AC00"/>
    </w:rPr>
  </w:style>
  <w:style w:type="character" w:customStyle="1" w:styleId="64">
    <w:name w:val="keyword"/>
    <w:basedOn w:val="6"/>
    <w:qFormat/>
    <w:uiPriority w:val="0"/>
    <w:rPr>
      <w:color w:val="FF0000"/>
    </w:rPr>
  </w:style>
  <w:style w:type="character" w:customStyle="1" w:styleId="65">
    <w:name w:val="more-zereo"/>
    <w:basedOn w:val="6"/>
    <w:qFormat/>
    <w:uiPriority w:val="0"/>
    <w:rPr>
      <w:color w:val="EB0F0A"/>
    </w:rPr>
  </w:style>
  <w:style w:type="character" w:customStyle="1" w:styleId="66">
    <w:name w:val="hover14"/>
    <w:basedOn w:val="6"/>
    <w:qFormat/>
    <w:uiPriority w:val="0"/>
    <w:rPr>
      <w:color w:val="FFFFFF"/>
      <w:shd w:val="clear" w:fill="F9AC00"/>
    </w:rPr>
  </w:style>
  <w:style w:type="paragraph" w:styleId="67">
    <w:name w:val=""/>
    <w:basedOn w:val="1"/>
    <w:next w:val="1"/>
    <w:uiPriority w:val="0"/>
    <w:pPr>
      <w:pBdr>
        <w:bottom w:val="single" w:color="auto" w:sz="6" w:space="1"/>
      </w:pBdr>
      <w:jc w:val="center"/>
    </w:pPr>
    <w:rPr>
      <w:rFonts w:ascii="Arial" w:eastAsia="宋体"/>
      <w:vanish/>
      <w:sz w:val="16"/>
    </w:rPr>
  </w:style>
  <w:style w:type="paragraph" w:styleId="6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2016-08-08T07:14:03Z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