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210" w:firstLineChars="100"/>
        <w:jc w:val="center"/>
        <w:textAlignment w:val="auto"/>
        <w:outlineLvl w:val="9"/>
        <w:rPr>
          <w:rFonts w:hint="eastAsia"/>
          <w:b/>
          <w:bCs/>
          <w:lang w:val="en-US" w:eastAsia="zh-CN"/>
        </w:rPr>
      </w:pPr>
      <w:bookmarkStart w:id="0" w:name="_GoBack"/>
      <w:r>
        <w:rPr>
          <w:rFonts w:hint="eastAsia"/>
          <w:b/>
          <w:bCs/>
          <w:lang w:val="en-US" w:eastAsia="zh-CN"/>
        </w:rPr>
        <w:t>深圳市公用事业特许经营条例</w:t>
      </w:r>
    </w:p>
    <w:bookmarkEnd w:id="0"/>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210" w:firstLineChars="100"/>
        <w:jc w:val="both"/>
        <w:textAlignment w:val="auto"/>
        <w:outlineLvl w:val="9"/>
        <w:rPr>
          <w:rFonts w:hint="eastAsia"/>
          <w:lang w:val="en-US" w:eastAsia="zh-CN"/>
        </w:rPr>
      </w:pPr>
      <w:r>
        <w:rPr>
          <w:rFonts w:hint="eastAsia"/>
          <w:lang w:val="en-US" w:eastAsia="zh-CN"/>
        </w:rPr>
        <w:t xml:space="preserve">  经深圳市第四届人民代表大会常务委员会第二次会议于2005年9月27日通过，广东省第十届人民代表大会常务委员会第二十一次会议于2005年12月2日批准，现予公布，自2006年3月1日起施行。</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210" w:firstLineChars="100"/>
        <w:jc w:val="both"/>
        <w:textAlignment w:val="auto"/>
        <w:outlineLvl w:val="9"/>
        <w:rPr>
          <w:rFonts w:hint="eastAsia"/>
          <w:lang w:val="en-US" w:eastAsia="zh-CN"/>
        </w:rPr>
      </w:pPr>
      <w:r>
        <w:rPr>
          <w:rFonts w:hint="eastAsia"/>
          <w:lang w:val="en-US" w:eastAsia="zh-CN"/>
        </w:rPr>
        <w:t>    深圳市人大常委会2005年12月29日第一章总则第一条为了规范深圳市公用事业特许经营活动，保障公众利益和公用事业特许经营者的合法权益，促进公用事业健康发展，根据《中华人民共和国行政许可法》和其他有关法律、法规的规定，结合本市实际，制定本条例。</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210" w:firstLineChars="100"/>
        <w:jc w:val="both"/>
        <w:textAlignment w:val="auto"/>
        <w:outlineLvl w:val="9"/>
        <w:rPr>
          <w:rFonts w:hint="eastAsia"/>
          <w:lang w:val="en-US" w:eastAsia="zh-CN"/>
        </w:rPr>
      </w:pPr>
      <w:r>
        <w:rPr>
          <w:rFonts w:hint="eastAsia"/>
          <w:lang w:val="en-US" w:eastAsia="zh-CN"/>
        </w:rPr>
        <w:t>    第二条本条例所称公用事业特许经营（以下简称特许经营），是指深圳市人民政府（以下简称市政府）通过公平竞争方式确定的公用事业特许经营者（以下简称经营者），在特定范围和期限内从事某项公用事业经营活动。</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210" w:firstLineChars="100"/>
        <w:jc w:val="both"/>
        <w:textAlignment w:val="auto"/>
        <w:outlineLvl w:val="9"/>
        <w:rPr>
          <w:rFonts w:hint="eastAsia"/>
          <w:lang w:val="en-US" w:eastAsia="zh-CN"/>
        </w:rPr>
      </w:pPr>
      <w:r>
        <w:rPr>
          <w:rFonts w:hint="eastAsia"/>
          <w:lang w:val="en-US" w:eastAsia="zh-CN"/>
        </w:rPr>
        <w:t>    第三条本市行政区域内涉及公共资源配置和直接关系公共利益的下列行业可以实行特许经营：</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210" w:firstLineChars="100"/>
        <w:jc w:val="both"/>
        <w:textAlignment w:val="auto"/>
        <w:outlineLvl w:val="9"/>
        <w:rPr>
          <w:rFonts w:hint="eastAsia"/>
          <w:lang w:val="en-US" w:eastAsia="zh-CN"/>
        </w:rPr>
      </w:pPr>
      <w:r>
        <w:rPr>
          <w:rFonts w:hint="eastAsia"/>
          <w:lang w:val="en-US" w:eastAsia="zh-CN"/>
        </w:rPr>
        <w:t>    （一）供水、供气、供热；</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210" w:firstLineChars="100"/>
        <w:jc w:val="both"/>
        <w:textAlignment w:val="auto"/>
        <w:outlineLvl w:val="9"/>
        <w:rPr>
          <w:rFonts w:hint="eastAsia"/>
          <w:lang w:val="en-US" w:eastAsia="zh-CN"/>
        </w:rPr>
      </w:pPr>
      <w:r>
        <w:rPr>
          <w:rFonts w:hint="eastAsia"/>
          <w:lang w:val="en-US" w:eastAsia="zh-CN"/>
        </w:rPr>
        <w:t>    （二）污水处理、垃圾处理；</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210" w:firstLineChars="100"/>
        <w:jc w:val="both"/>
        <w:textAlignment w:val="auto"/>
        <w:outlineLvl w:val="9"/>
        <w:rPr>
          <w:rFonts w:hint="eastAsia"/>
          <w:lang w:val="en-US" w:eastAsia="zh-CN"/>
        </w:rPr>
      </w:pPr>
      <w:r>
        <w:rPr>
          <w:rFonts w:hint="eastAsia"/>
          <w:lang w:val="en-US" w:eastAsia="zh-CN"/>
        </w:rPr>
        <w:t>    （三）公共交通；</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210" w:firstLineChars="100"/>
        <w:jc w:val="both"/>
        <w:textAlignment w:val="auto"/>
        <w:outlineLvl w:val="9"/>
        <w:rPr>
          <w:rFonts w:hint="eastAsia"/>
          <w:lang w:val="en-US" w:eastAsia="zh-CN"/>
        </w:rPr>
      </w:pPr>
      <w:r>
        <w:rPr>
          <w:rFonts w:hint="eastAsia"/>
          <w:lang w:val="en-US" w:eastAsia="zh-CN"/>
        </w:rPr>
        <w:t>    （四）法律、法规规定的其他行业。</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210" w:firstLineChars="100"/>
        <w:jc w:val="both"/>
        <w:textAlignment w:val="auto"/>
        <w:outlineLvl w:val="9"/>
        <w:rPr>
          <w:rFonts w:hint="eastAsia"/>
          <w:lang w:val="en-US" w:eastAsia="zh-CN"/>
        </w:rPr>
      </w:pPr>
      <w:r>
        <w:rPr>
          <w:rFonts w:hint="eastAsia"/>
          <w:lang w:val="en-US" w:eastAsia="zh-CN"/>
        </w:rPr>
        <w:t>    从事特许经营，应当按照规定取得相应的特许经营权。</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210" w:firstLineChars="100"/>
        <w:jc w:val="both"/>
        <w:textAlignment w:val="auto"/>
        <w:outlineLvl w:val="9"/>
        <w:rPr>
          <w:rFonts w:hint="eastAsia"/>
          <w:lang w:val="en-US" w:eastAsia="zh-CN"/>
        </w:rPr>
      </w:pPr>
      <w:r>
        <w:rPr>
          <w:rFonts w:hint="eastAsia"/>
          <w:lang w:val="en-US" w:eastAsia="zh-CN"/>
        </w:rPr>
        <w:t>    第四条特许经营应当优先保证公共利益不受损害。经营者应当确保提供持续、安全、方便、优质、高效、公平和价格合理的普遍服务，不得利用自身的优势地位妨碍其他经营者的合法经营活动，不得侵害消费者的合法权益。</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210" w:firstLineChars="100"/>
        <w:jc w:val="both"/>
        <w:textAlignment w:val="auto"/>
        <w:outlineLvl w:val="9"/>
        <w:rPr>
          <w:rFonts w:hint="eastAsia"/>
          <w:lang w:val="en-US" w:eastAsia="zh-CN"/>
        </w:rPr>
      </w:pPr>
      <w:r>
        <w:rPr>
          <w:rFonts w:hint="eastAsia"/>
          <w:lang w:val="en-US" w:eastAsia="zh-CN"/>
        </w:rPr>
        <w:t>    经营者通过合法经营取得合理收益并承担相应风险。</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210" w:firstLineChars="100"/>
        <w:jc w:val="both"/>
        <w:textAlignment w:val="auto"/>
        <w:outlineLvl w:val="9"/>
        <w:rPr>
          <w:rFonts w:hint="eastAsia"/>
          <w:lang w:val="en-US" w:eastAsia="zh-CN"/>
        </w:rPr>
      </w:pPr>
      <w:r>
        <w:rPr>
          <w:rFonts w:hint="eastAsia"/>
          <w:lang w:val="en-US" w:eastAsia="zh-CN"/>
        </w:rPr>
        <w:t>    第五条公众对特许经营活动享有知情权和提出意见的权利，对侵害自己合法权益的行为有权进行举报和投诉。</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210" w:firstLineChars="100"/>
        <w:jc w:val="both"/>
        <w:textAlignment w:val="auto"/>
        <w:outlineLvl w:val="9"/>
        <w:rPr>
          <w:rFonts w:hint="eastAsia"/>
          <w:lang w:val="en-US" w:eastAsia="zh-CN"/>
        </w:rPr>
      </w:pPr>
      <w:r>
        <w:rPr>
          <w:rFonts w:hint="eastAsia"/>
          <w:lang w:val="en-US" w:eastAsia="zh-CN"/>
        </w:rPr>
        <w:t>    市政府和经营者应当建立特许经营公众参与机制，保障公众对特许经营情况进行有效监督。</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210" w:firstLineChars="100"/>
        <w:jc w:val="both"/>
        <w:textAlignment w:val="auto"/>
        <w:outlineLvl w:val="9"/>
        <w:rPr>
          <w:rFonts w:hint="eastAsia"/>
          <w:lang w:val="en-US" w:eastAsia="zh-CN"/>
        </w:rPr>
      </w:pPr>
      <w:r>
        <w:rPr>
          <w:rFonts w:hint="eastAsia"/>
          <w:lang w:val="en-US" w:eastAsia="zh-CN"/>
        </w:rPr>
        <w:t>    第六条市政府公用事业的行业主管部门是特许经营的监管部门，市政府其他职能部门根据各自职责协助履行相应的监管职能。</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210" w:firstLineChars="100"/>
        <w:jc w:val="both"/>
        <w:textAlignment w:val="auto"/>
        <w:outlineLvl w:val="9"/>
        <w:rPr>
          <w:rFonts w:hint="eastAsia"/>
          <w:lang w:val="en-US" w:eastAsia="zh-CN"/>
        </w:rPr>
      </w:pPr>
      <w:r>
        <w:rPr>
          <w:rFonts w:hint="eastAsia"/>
          <w:lang w:val="en-US" w:eastAsia="zh-CN"/>
        </w:rPr>
        <w:t>    第二章特许经营权的授予第七条特许经营权的授权主体是市政府。</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210" w:firstLineChars="100"/>
        <w:jc w:val="both"/>
        <w:textAlignment w:val="auto"/>
        <w:outlineLvl w:val="9"/>
        <w:rPr>
          <w:rFonts w:hint="eastAsia"/>
          <w:lang w:val="en-US" w:eastAsia="zh-CN"/>
        </w:rPr>
      </w:pPr>
      <w:r>
        <w:rPr>
          <w:rFonts w:hint="eastAsia"/>
          <w:lang w:val="en-US" w:eastAsia="zh-CN"/>
        </w:rPr>
        <w:t>    第八条市政府应当采取招标、拍卖等公平竞争的方式，按照有关法律、法规的规定，公开、公平、公正地将某项公用事业的特许经营权通过颁发特许经营授权书（以下简称授权书）的形式授予符合条件的申请人。</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210" w:firstLineChars="100"/>
        <w:jc w:val="both"/>
        <w:textAlignment w:val="auto"/>
        <w:outlineLvl w:val="9"/>
        <w:rPr>
          <w:rFonts w:hint="eastAsia"/>
          <w:lang w:val="en-US" w:eastAsia="zh-CN"/>
        </w:rPr>
      </w:pPr>
      <w:r>
        <w:rPr>
          <w:rFonts w:hint="eastAsia"/>
          <w:lang w:val="en-US" w:eastAsia="zh-CN"/>
        </w:rPr>
        <w:t>    第九条通过招标、拍卖等方式不能确定经营者的，市政府也可以采取招募方式确定经营者。</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210" w:firstLineChars="100"/>
        <w:jc w:val="both"/>
        <w:textAlignment w:val="auto"/>
        <w:outlineLvl w:val="9"/>
        <w:rPr>
          <w:rFonts w:hint="eastAsia"/>
          <w:lang w:val="en-US" w:eastAsia="zh-CN"/>
        </w:rPr>
      </w:pPr>
      <w:r>
        <w:rPr>
          <w:rFonts w:hint="eastAsia"/>
          <w:lang w:val="en-US" w:eastAsia="zh-CN"/>
        </w:rPr>
        <w:t>    前款所称招募，是指市政府将拟授权经营的公用事业公告后，由市政府或者其委托的机构向申请人发出邀请，通过审慎调查和意向谈判，确定经营者候选人，提交专门设立的评审委员会确定优先谈判对象，通过谈判确定经营者。</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210" w:firstLineChars="100"/>
        <w:jc w:val="both"/>
        <w:textAlignment w:val="auto"/>
        <w:outlineLvl w:val="9"/>
        <w:rPr>
          <w:rFonts w:hint="eastAsia"/>
          <w:lang w:val="en-US" w:eastAsia="zh-CN"/>
        </w:rPr>
      </w:pPr>
      <w:r>
        <w:rPr>
          <w:rFonts w:hint="eastAsia"/>
          <w:lang w:val="en-US" w:eastAsia="zh-CN"/>
        </w:rPr>
        <w:t>    第十条通过招募方式确定经营者的，市政府应当事先制定招募的条件和程序并予以公告。</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210" w:firstLineChars="100"/>
        <w:jc w:val="both"/>
        <w:textAlignment w:val="auto"/>
        <w:outlineLvl w:val="9"/>
        <w:rPr>
          <w:rFonts w:hint="eastAsia"/>
          <w:lang w:val="en-US" w:eastAsia="zh-CN"/>
        </w:rPr>
      </w:pPr>
      <w:r>
        <w:rPr>
          <w:rFonts w:hint="eastAsia"/>
          <w:lang w:val="en-US" w:eastAsia="zh-CN"/>
        </w:rPr>
        <w:t>    第十一条同一行业的特许经营权应当授予两个以上的经营者；但因行业特点和区域条件的限制，无法授予两个以上经营者的除外。</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210" w:firstLineChars="100"/>
        <w:jc w:val="both"/>
        <w:textAlignment w:val="auto"/>
        <w:outlineLvl w:val="9"/>
        <w:rPr>
          <w:rFonts w:hint="eastAsia"/>
          <w:lang w:val="en-US" w:eastAsia="zh-CN"/>
        </w:rPr>
      </w:pPr>
      <w:r>
        <w:rPr>
          <w:rFonts w:hint="eastAsia"/>
          <w:lang w:val="en-US" w:eastAsia="zh-CN"/>
        </w:rPr>
        <w:t>    第十二条特许经营可以采取下列形式：</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210" w:firstLineChars="100"/>
        <w:jc w:val="both"/>
        <w:textAlignment w:val="auto"/>
        <w:outlineLvl w:val="9"/>
        <w:rPr>
          <w:rFonts w:hint="eastAsia"/>
          <w:lang w:val="en-US" w:eastAsia="zh-CN"/>
        </w:rPr>
      </w:pPr>
      <w:r>
        <w:rPr>
          <w:rFonts w:hint="eastAsia"/>
          <w:lang w:val="en-US" w:eastAsia="zh-CN"/>
        </w:rPr>
        <w:t>    （一）在一定期限内，将项目授予经营者建设、经营，期限届满后无偿移交给市政府；</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210" w:firstLineChars="100"/>
        <w:jc w:val="both"/>
        <w:textAlignment w:val="auto"/>
        <w:outlineLvl w:val="9"/>
        <w:rPr>
          <w:rFonts w:hint="eastAsia"/>
          <w:lang w:val="en-US" w:eastAsia="zh-CN"/>
        </w:rPr>
      </w:pPr>
      <w:r>
        <w:rPr>
          <w:rFonts w:hint="eastAsia"/>
          <w:lang w:val="en-US" w:eastAsia="zh-CN"/>
        </w:rPr>
        <w:t>    （二）在一定期限内，将公用设施移交经营者经营，期限届满后无偿移交给市政府；</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210" w:firstLineChars="100"/>
        <w:jc w:val="both"/>
        <w:textAlignment w:val="auto"/>
        <w:outlineLvl w:val="9"/>
        <w:rPr>
          <w:rFonts w:hint="eastAsia"/>
          <w:lang w:val="en-US" w:eastAsia="zh-CN"/>
        </w:rPr>
      </w:pPr>
      <w:r>
        <w:rPr>
          <w:rFonts w:hint="eastAsia"/>
          <w:lang w:val="en-US" w:eastAsia="zh-CN"/>
        </w:rPr>
        <w:t>    （四）具备招标、拍卖、招募文件规定的相关条件；</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210" w:firstLineChars="100"/>
        <w:jc w:val="both"/>
        <w:textAlignment w:val="auto"/>
        <w:outlineLvl w:val="9"/>
        <w:rPr>
          <w:rFonts w:hint="eastAsia"/>
          <w:lang w:val="en-US" w:eastAsia="zh-CN"/>
        </w:rPr>
      </w:pPr>
      <w:r>
        <w:rPr>
          <w:rFonts w:hint="eastAsia"/>
          <w:lang w:val="en-US" w:eastAsia="zh-CN"/>
        </w:rPr>
        <w:t>    （五）法律、法规、规章规定的其他条件。</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210" w:firstLineChars="100"/>
        <w:jc w:val="both"/>
        <w:textAlignment w:val="auto"/>
        <w:outlineLvl w:val="9"/>
        <w:rPr>
          <w:rFonts w:hint="eastAsia"/>
          <w:lang w:val="en-US" w:eastAsia="zh-CN"/>
        </w:rPr>
      </w:pPr>
      <w:r>
        <w:rPr>
          <w:rFonts w:hint="eastAsia"/>
          <w:lang w:val="en-US" w:eastAsia="zh-CN"/>
        </w:rPr>
        <w:t>    第十四条市政府应当根据不同行业的特点制定授权实施方案，并就授权实施方案的有关内容举行公开听证。</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210" w:firstLineChars="100"/>
        <w:jc w:val="both"/>
        <w:textAlignment w:val="auto"/>
        <w:outlineLvl w:val="9"/>
        <w:rPr>
          <w:rFonts w:hint="eastAsia"/>
          <w:lang w:val="en-US" w:eastAsia="zh-CN"/>
        </w:rPr>
      </w:pPr>
      <w:r>
        <w:rPr>
          <w:rFonts w:hint="eastAsia"/>
          <w:lang w:val="en-US" w:eastAsia="zh-CN"/>
        </w:rPr>
        <w:t>    授权实施方案应当包括下列内容：</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210" w:firstLineChars="100"/>
        <w:jc w:val="both"/>
        <w:textAlignment w:val="auto"/>
        <w:outlineLvl w:val="9"/>
        <w:rPr>
          <w:rFonts w:hint="eastAsia"/>
          <w:lang w:val="en-US" w:eastAsia="zh-CN"/>
        </w:rPr>
      </w:pPr>
      <w:r>
        <w:rPr>
          <w:rFonts w:hint="eastAsia"/>
          <w:lang w:val="en-US" w:eastAsia="zh-CN"/>
        </w:rPr>
        <w:t>    （一）项目的基本情况；</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210" w:firstLineChars="100"/>
        <w:jc w:val="both"/>
        <w:textAlignment w:val="auto"/>
        <w:outlineLvl w:val="9"/>
        <w:rPr>
          <w:rFonts w:hint="eastAsia"/>
          <w:lang w:val="en-US" w:eastAsia="zh-CN"/>
        </w:rPr>
      </w:pPr>
      <w:r>
        <w:rPr>
          <w:rFonts w:hint="eastAsia"/>
          <w:lang w:val="en-US" w:eastAsia="zh-CN"/>
        </w:rPr>
        <w:t>    （二）申请人应当具备的基本条件；</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210" w:firstLineChars="100"/>
        <w:jc w:val="both"/>
        <w:textAlignment w:val="auto"/>
        <w:outlineLvl w:val="9"/>
        <w:rPr>
          <w:rFonts w:hint="eastAsia"/>
          <w:lang w:val="en-US" w:eastAsia="zh-CN"/>
        </w:rPr>
      </w:pPr>
      <w:r>
        <w:rPr>
          <w:rFonts w:hint="eastAsia"/>
          <w:lang w:val="en-US" w:eastAsia="zh-CN"/>
        </w:rPr>
        <w:t>    （三）特许经营权的授权方式；</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210" w:firstLineChars="100"/>
        <w:jc w:val="both"/>
        <w:textAlignment w:val="auto"/>
        <w:outlineLvl w:val="9"/>
        <w:rPr>
          <w:rFonts w:hint="eastAsia"/>
          <w:lang w:val="en-US" w:eastAsia="zh-CN"/>
        </w:rPr>
      </w:pPr>
      <w:r>
        <w:rPr>
          <w:rFonts w:hint="eastAsia"/>
          <w:lang w:val="en-US" w:eastAsia="zh-CN"/>
        </w:rPr>
        <w:t>    （四）特许经营的形式、主要内容、范围及期限；</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210" w:firstLineChars="100"/>
        <w:jc w:val="both"/>
        <w:textAlignment w:val="auto"/>
        <w:outlineLvl w:val="9"/>
        <w:rPr>
          <w:rFonts w:hint="eastAsia"/>
          <w:lang w:val="en-US" w:eastAsia="zh-CN"/>
        </w:rPr>
      </w:pPr>
      <w:r>
        <w:rPr>
          <w:rFonts w:hint="eastAsia"/>
          <w:lang w:val="en-US" w:eastAsia="zh-CN"/>
        </w:rPr>
        <w:t>    （五）经营者经营收益及投资回报情况测算；</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210" w:firstLineChars="100"/>
        <w:jc w:val="both"/>
        <w:textAlignment w:val="auto"/>
        <w:outlineLvl w:val="9"/>
        <w:rPr>
          <w:rFonts w:hint="eastAsia"/>
          <w:lang w:val="en-US" w:eastAsia="zh-CN"/>
        </w:rPr>
      </w:pPr>
      <w:r>
        <w:rPr>
          <w:rFonts w:hint="eastAsia"/>
          <w:lang w:val="en-US" w:eastAsia="zh-CN"/>
        </w:rPr>
        <w:t>    （六）财政补贴及其他优惠措施；</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210" w:firstLineChars="100"/>
        <w:jc w:val="both"/>
        <w:textAlignment w:val="auto"/>
        <w:outlineLvl w:val="9"/>
        <w:rPr>
          <w:rFonts w:hint="eastAsia"/>
          <w:lang w:val="en-US" w:eastAsia="zh-CN"/>
        </w:rPr>
      </w:pPr>
      <w:r>
        <w:rPr>
          <w:rFonts w:hint="eastAsia"/>
          <w:lang w:val="en-US" w:eastAsia="zh-CN"/>
        </w:rPr>
        <w:t>    （七）市政府认为应当明确的其他事项。</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210" w:firstLineChars="100"/>
        <w:jc w:val="both"/>
        <w:textAlignment w:val="auto"/>
        <w:outlineLvl w:val="9"/>
        <w:rPr>
          <w:rFonts w:hint="eastAsia"/>
          <w:lang w:val="en-US" w:eastAsia="zh-CN"/>
        </w:rPr>
      </w:pPr>
      <w:r>
        <w:rPr>
          <w:rFonts w:hint="eastAsia"/>
          <w:lang w:val="en-US" w:eastAsia="zh-CN"/>
        </w:rPr>
        <w:t>    第十五条招标、拍卖等结束后三十日内，市政府应当根据有关招标、拍卖文件与确定的经营者签定特许经营协议，并颁发授权书。</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210" w:firstLineChars="100"/>
        <w:jc w:val="both"/>
        <w:textAlignment w:val="auto"/>
        <w:outlineLvl w:val="9"/>
        <w:rPr>
          <w:rFonts w:hint="eastAsia"/>
          <w:lang w:val="en-US" w:eastAsia="zh-CN"/>
        </w:rPr>
      </w:pPr>
      <w:r>
        <w:rPr>
          <w:rFonts w:hint="eastAsia"/>
          <w:lang w:val="en-US" w:eastAsia="zh-CN"/>
        </w:rPr>
        <w:t>    第十六条特许经营协议应当包括下列内容：</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210" w:firstLineChars="100"/>
        <w:jc w:val="both"/>
        <w:textAlignment w:val="auto"/>
        <w:outlineLvl w:val="9"/>
        <w:rPr>
          <w:rFonts w:hint="eastAsia"/>
          <w:lang w:val="en-US" w:eastAsia="zh-CN"/>
        </w:rPr>
      </w:pPr>
      <w:r>
        <w:rPr>
          <w:rFonts w:hint="eastAsia"/>
          <w:lang w:val="en-US" w:eastAsia="zh-CN"/>
        </w:rPr>
        <w:t>    （一）项目名称；</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210" w:firstLineChars="100"/>
        <w:jc w:val="both"/>
        <w:textAlignment w:val="auto"/>
        <w:outlineLvl w:val="9"/>
        <w:rPr>
          <w:rFonts w:hint="eastAsia"/>
          <w:lang w:val="en-US" w:eastAsia="zh-CN"/>
        </w:rPr>
      </w:pPr>
      <w:r>
        <w:rPr>
          <w:rFonts w:hint="eastAsia"/>
          <w:lang w:val="en-US" w:eastAsia="zh-CN"/>
        </w:rPr>
        <w:t>    （二）经营方式；</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210" w:firstLineChars="100"/>
        <w:jc w:val="both"/>
        <w:textAlignment w:val="auto"/>
        <w:outlineLvl w:val="9"/>
        <w:rPr>
          <w:rFonts w:hint="eastAsia"/>
          <w:lang w:val="en-US" w:eastAsia="zh-CN"/>
        </w:rPr>
      </w:pPr>
      <w:r>
        <w:rPr>
          <w:rFonts w:hint="eastAsia"/>
          <w:lang w:val="en-US" w:eastAsia="zh-CN"/>
        </w:rPr>
        <w:t>    （三）经营者应当履行的义务；</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210" w:firstLineChars="100"/>
        <w:jc w:val="both"/>
        <w:textAlignment w:val="auto"/>
        <w:outlineLvl w:val="9"/>
        <w:rPr>
          <w:rFonts w:hint="eastAsia"/>
          <w:lang w:val="en-US" w:eastAsia="zh-CN"/>
        </w:rPr>
      </w:pPr>
      <w:r>
        <w:rPr>
          <w:rFonts w:hint="eastAsia"/>
          <w:lang w:val="en-US" w:eastAsia="zh-CN"/>
        </w:rPr>
        <w:t>    （四）违约责任；</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210" w:firstLineChars="100"/>
        <w:jc w:val="both"/>
        <w:textAlignment w:val="auto"/>
        <w:outlineLvl w:val="9"/>
        <w:rPr>
          <w:rFonts w:hint="eastAsia"/>
          <w:lang w:val="en-US" w:eastAsia="zh-CN"/>
        </w:rPr>
      </w:pPr>
      <w:r>
        <w:rPr>
          <w:rFonts w:hint="eastAsia"/>
          <w:lang w:val="en-US" w:eastAsia="zh-CN"/>
        </w:rPr>
        <w:t>    （五）双方认为应当约定的其他事项。</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210" w:firstLineChars="100"/>
        <w:jc w:val="both"/>
        <w:textAlignment w:val="auto"/>
        <w:outlineLvl w:val="9"/>
        <w:rPr>
          <w:rFonts w:hint="eastAsia"/>
          <w:lang w:val="en-US" w:eastAsia="zh-CN"/>
        </w:rPr>
      </w:pPr>
      <w:r>
        <w:rPr>
          <w:rFonts w:hint="eastAsia"/>
          <w:lang w:val="en-US" w:eastAsia="zh-CN"/>
        </w:rPr>
        <w:t>    第十七条授权书是经营者从事相应特许经营业务的证明，应当载明下列事项：</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210" w:firstLineChars="100"/>
        <w:jc w:val="both"/>
        <w:textAlignment w:val="auto"/>
        <w:outlineLvl w:val="9"/>
        <w:rPr>
          <w:rFonts w:hint="eastAsia"/>
          <w:lang w:val="en-US" w:eastAsia="zh-CN"/>
        </w:rPr>
      </w:pPr>
      <w:r>
        <w:rPr>
          <w:rFonts w:hint="eastAsia"/>
          <w:lang w:val="en-US" w:eastAsia="zh-CN"/>
        </w:rPr>
        <w:t>    （一）授权人、被授权人；</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210" w:firstLineChars="100"/>
        <w:jc w:val="both"/>
        <w:textAlignment w:val="auto"/>
        <w:outlineLvl w:val="9"/>
        <w:rPr>
          <w:rFonts w:hint="eastAsia"/>
          <w:lang w:val="en-US" w:eastAsia="zh-CN"/>
        </w:rPr>
      </w:pPr>
      <w:r>
        <w:rPr>
          <w:rFonts w:hint="eastAsia"/>
          <w:lang w:val="en-US" w:eastAsia="zh-CN"/>
        </w:rPr>
        <w:t>    （二）特许经营权的内容、区域、期限；</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210" w:firstLineChars="100"/>
        <w:jc w:val="both"/>
        <w:textAlignment w:val="auto"/>
        <w:outlineLvl w:val="9"/>
        <w:rPr>
          <w:rFonts w:hint="eastAsia"/>
          <w:lang w:val="en-US" w:eastAsia="zh-CN"/>
        </w:rPr>
      </w:pPr>
      <w:r>
        <w:rPr>
          <w:rFonts w:hint="eastAsia"/>
          <w:lang w:val="en-US" w:eastAsia="zh-CN"/>
        </w:rPr>
        <w:t>    （三）经营者的主要义务与责任；</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210" w:firstLineChars="100"/>
        <w:jc w:val="both"/>
        <w:textAlignment w:val="auto"/>
        <w:outlineLvl w:val="9"/>
        <w:rPr>
          <w:rFonts w:hint="eastAsia"/>
          <w:lang w:val="en-US" w:eastAsia="zh-CN"/>
        </w:rPr>
      </w:pPr>
      <w:r>
        <w:rPr>
          <w:rFonts w:hint="eastAsia"/>
          <w:lang w:val="en-US" w:eastAsia="zh-CN"/>
        </w:rPr>
        <w:t>    （四）特许经营权的撤销；</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210" w:firstLineChars="100"/>
        <w:jc w:val="both"/>
        <w:textAlignment w:val="auto"/>
        <w:outlineLvl w:val="9"/>
        <w:rPr>
          <w:rFonts w:hint="eastAsia"/>
          <w:lang w:val="en-US" w:eastAsia="zh-CN"/>
        </w:rPr>
      </w:pPr>
      <w:r>
        <w:rPr>
          <w:rFonts w:hint="eastAsia"/>
          <w:lang w:val="en-US" w:eastAsia="zh-CN"/>
        </w:rPr>
        <w:t>    （五）其他需要载明的事项。</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210" w:firstLineChars="100"/>
        <w:jc w:val="both"/>
        <w:textAlignment w:val="auto"/>
        <w:outlineLvl w:val="9"/>
        <w:rPr>
          <w:rFonts w:hint="eastAsia"/>
          <w:lang w:val="en-US" w:eastAsia="zh-CN"/>
        </w:rPr>
      </w:pPr>
      <w:r>
        <w:rPr>
          <w:rFonts w:hint="eastAsia"/>
          <w:lang w:val="en-US" w:eastAsia="zh-CN"/>
        </w:rPr>
        <w:t>    第十八条特许经营期限根据经营者的投资回报周期确定，但最长不得超过三十年。</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210" w:firstLineChars="100"/>
        <w:jc w:val="both"/>
        <w:textAlignment w:val="auto"/>
        <w:outlineLvl w:val="9"/>
        <w:rPr>
          <w:rFonts w:hint="eastAsia"/>
          <w:lang w:val="en-US" w:eastAsia="zh-CN"/>
        </w:rPr>
      </w:pPr>
      <w:r>
        <w:rPr>
          <w:rFonts w:hint="eastAsia"/>
          <w:lang w:val="en-US" w:eastAsia="zh-CN"/>
        </w:rPr>
        <w:t>    第十九条特许经营期限届满后，市政府应当按照本条例的规定，重新进行特许经营权的授予。特许经营权的重新授予应当于特许经营期限届满六个月前完成。</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210" w:firstLineChars="100"/>
        <w:jc w:val="both"/>
        <w:textAlignment w:val="auto"/>
        <w:outlineLvl w:val="9"/>
        <w:rPr>
          <w:rFonts w:hint="eastAsia"/>
          <w:lang w:val="en-US" w:eastAsia="zh-CN"/>
        </w:rPr>
      </w:pPr>
      <w:r>
        <w:rPr>
          <w:rFonts w:hint="eastAsia"/>
          <w:lang w:val="en-US" w:eastAsia="zh-CN"/>
        </w:rPr>
        <w:t>    第二十条市政府可以根据公用事业的不同特点征收特许经营权使用费。</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210" w:firstLineChars="100"/>
        <w:jc w:val="both"/>
        <w:textAlignment w:val="auto"/>
        <w:outlineLvl w:val="9"/>
        <w:rPr>
          <w:rFonts w:hint="eastAsia"/>
          <w:lang w:val="en-US" w:eastAsia="zh-CN"/>
        </w:rPr>
      </w:pPr>
      <w:r>
        <w:rPr>
          <w:rFonts w:hint="eastAsia"/>
          <w:lang w:val="en-US" w:eastAsia="zh-CN"/>
        </w:rPr>
        <w:t>    第三章经营者的权利和义务第二十一条经营者享有依法独立经营管理的权利，国家机关、社会团体和其他组织不得非法干预其正常经营活动。</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210" w:firstLineChars="100"/>
        <w:jc w:val="both"/>
        <w:textAlignment w:val="auto"/>
        <w:outlineLvl w:val="9"/>
        <w:rPr>
          <w:rFonts w:hint="eastAsia"/>
          <w:lang w:val="en-US" w:eastAsia="zh-CN"/>
        </w:rPr>
      </w:pPr>
      <w:r>
        <w:rPr>
          <w:rFonts w:hint="eastAsia"/>
          <w:lang w:val="en-US" w:eastAsia="zh-CN"/>
        </w:rPr>
        <w:t>    第二十二条经营者可以通过下列方式获取收益：</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210" w:firstLineChars="100"/>
        <w:jc w:val="both"/>
        <w:textAlignment w:val="auto"/>
        <w:outlineLvl w:val="9"/>
        <w:rPr>
          <w:rFonts w:hint="eastAsia"/>
          <w:lang w:val="en-US" w:eastAsia="zh-CN"/>
        </w:rPr>
      </w:pPr>
      <w:r>
        <w:rPr>
          <w:rFonts w:hint="eastAsia"/>
          <w:lang w:val="en-US" w:eastAsia="zh-CN"/>
        </w:rPr>
        <w:t>    （一）对提供的公共产品和服务收费；</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210" w:firstLineChars="100"/>
        <w:jc w:val="both"/>
        <w:textAlignment w:val="auto"/>
        <w:outlineLvl w:val="9"/>
        <w:rPr>
          <w:rFonts w:hint="eastAsia"/>
          <w:lang w:val="en-US" w:eastAsia="zh-CN"/>
        </w:rPr>
      </w:pPr>
      <w:r>
        <w:rPr>
          <w:rFonts w:hint="eastAsia"/>
          <w:lang w:val="en-US" w:eastAsia="zh-CN"/>
        </w:rPr>
        <w:t>    （二）市政府在授权实施方案中承诺的其他经营权收益和财政补贴；</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210" w:firstLineChars="100"/>
        <w:jc w:val="both"/>
        <w:textAlignment w:val="auto"/>
        <w:outlineLvl w:val="9"/>
        <w:rPr>
          <w:rFonts w:hint="eastAsia"/>
          <w:lang w:val="en-US" w:eastAsia="zh-CN"/>
        </w:rPr>
      </w:pPr>
      <w:r>
        <w:rPr>
          <w:rFonts w:hint="eastAsia"/>
          <w:lang w:val="en-US" w:eastAsia="zh-CN"/>
        </w:rPr>
        <w:t>    （三）法律、法规规定的其他方式。</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210" w:firstLineChars="100"/>
        <w:jc w:val="both"/>
        <w:textAlignment w:val="auto"/>
        <w:outlineLvl w:val="9"/>
        <w:rPr>
          <w:rFonts w:hint="eastAsia"/>
          <w:lang w:val="en-US" w:eastAsia="zh-CN"/>
        </w:rPr>
      </w:pPr>
      <w:r>
        <w:rPr>
          <w:rFonts w:hint="eastAsia"/>
          <w:lang w:val="en-US" w:eastAsia="zh-CN"/>
        </w:rPr>
        <w:t>    第二十三条经营者应当按照授权书的规定和特许经营协议的约定依法履行经营义务，并接受监管部门的监管。</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210" w:firstLineChars="100"/>
        <w:jc w:val="both"/>
        <w:textAlignment w:val="auto"/>
        <w:outlineLvl w:val="9"/>
        <w:rPr>
          <w:rFonts w:hint="eastAsia"/>
          <w:lang w:val="en-US" w:eastAsia="zh-CN"/>
        </w:rPr>
      </w:pPr>
      <w:r>
        <w:rPr>
          <w:rFonts w:hint="eastAsia"/>
          <w:lang w:val="en-US" w:eastAsia="zh-CN"/>
        </w:rPr>
        <w:t>    第二十四条经营者不得超越授权书规定的范围从事特许经营活动。未经市政府同意，不得以转让或者出租、质押等方式处分特许经营权。</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210" w:firstLineChars="100"/>
        <w:jc w:val="both"/>
        <w:textAlignment w:val="auto"/>
        <w:outlineLvl w:val="9"/>
        <w:rPr>
          <w:rFonts w:hint="eastAsia"/>
          <w:lang w:val="en-US" w:eastAsia="zh-CN"/>
        </w:rPr>
      </w:pPr>
      <w:r>
        <w:rPr>
          <w:rFonts w:hint="eastAsia"/>
          <w:lang w:val="en-US" w:eastAsia="zh-CN"/>
        </w:rPr>
        <w:t>    第二十五条经营者应当将五年及年度经营计划、年度经营报告以及企业名称、地址和董事会以及经营班子主要成员的变更情况等信息及时报监管部门备案。</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210" w:firstLineChars="100"/>
        <w:jc w:val="both"/>
        <w:textAlignment w:val="auto"/>
        <w:outlineLvl w:val="9"/>
        <w:rPr>
          <w:rFonts w:hint="eastAsia"/>
          <w:lang w:val="en-US" w:eastAsia="zh-CN"/>
        </w:rPr>
      </w:pPr>
      <w:r>
        <w:rPr>
          <w:rFonts w:hint="eastAsia"/>
          <w:lang w:val="en-US" w:eastAsia="zh-CN"/>
        </w:rPr>
        <w:t>    第二十六条经营者应当于每年五月底以前将其经过审计的上年度财务报表向社会公布。</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210" w:firstLineChars="100"/>
        <w:jc w:val="both"/>
        <w:textAlignment w:val="auto"/>
        <w:outlineLvl w:val="9"/>
        <w:rPr>
          <w:rFonts w:hint="eastAsia"/>
          <w:lang w:val="en-US" w:eastAsia="zh-CN"/>
        </w:rPr>
      </w:pPr>
      <w:r>
        <w:rPr>
          <w:rFonts w:hint="eastAsia"/>
          <w:lang w:val="en-US" w:eastAsia="zh-CN"/>
        </w:rPr>
        <w:t>    第二十七条经营者不得利用特许经营的优势地位，强制、限定、阻碍用户购买某种产品，或者有其他侵害消费者合法权益的行为。</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210" w:firstLineChars="100"/>
        <w:jc w:val="both"/>
        <w:textAlignment w:val="auto"/>
        <w:outlineLvl w:val="9"/>
        <w:rPr>
          <w:rFonts w:hint="eastAsia"/>
          <w:lang w:val="en-US" w:eastAsia="zh-CN"/>
        </w:rPr>
      </w:pPr>
      <w:r>
        <w:rPr>
          <w:rFonts w:hint="eastAsia"/>
          <w:lang w:val="en-US" w:eastAsia="zh-CN"/>
        </w:rPr>
        <w:t>    第二十八条市政府投资建设的公用设施，归市政府所有。市政府可以根据本条例第十二条规定的特许经营形式将公用设施移交经营者经营；经营者不得擅自改变公用设施的功能和用途。</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210" w:firstLineChars="100"/>
        <w:jc w:val="both"/>
        <w:textAlignment w:val="auto"/>
        <w:outlineLvl w:val="9"/>
        <w:rPr>
          <w:rFonts w:hint="eastAsia"/>
          <w:lang w:val="en-US" w:eastAsia="zh-CN"/>
        </w:rPr>
      </w:pPr>
      <w:r>
        <w:rPr>
          <w:rFonts w:hint="eastAsia"/>
          <w:lang w:val="en-US" w:eastAsia="zh-CN"/>
        </w:rPr>
        <w:t>    第二十九条经营者应当允许其他经营者按照规划要求连接其投资建设或者经营管理的公用设施。</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210" w:firstLineChars="100"/>
        <w:jc w:val="both"/>
        <w:textAlignment w:val="auto"/>
        <w:outlineLvl w:val="9"/>
        <w:rPr>
          <w:rFonts w:hint="eastAsia"/>
          <w:lang w:val="en-US" w:eastAsia="zh-CN"/>
        </w:rPr>
      </w:pPr>
      <w:r>
        <w:rPr>
          <w:rFonts w:hint="eastAsia"/>
          <w:lang w:val="en-US" w:eastAsia="zh-CN"/>
        </w:rPr>
        <w:t>    第三十条经营者因建设和维护公用设施需进入某些土地和建筑物时，应当事先与权利人协商，有关权利人应当提供方便。</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210" w:firstLineChars="100"/>
        <w:jc w:val="both"/>
        <w:textAlignment w:val="auto"/>
        <w:outlineLvl w:val="9"/>
        <w:rPr>
          <w:rFonts w:hint="eastAsia"/>
          <w:lang w:val="en-US" w:eastAsia="zh-CN"/>
        </w:rPr>
      </w:pPr>
      <w:r>
        <w:rPr>
          <w:rFonts w:hint="eastAsia"/>
          <w:lang w:val="en-US" w:eastAsia="zh-CN"/>
        </w:rPr>
        <w:t>    第三十一条公用设施的建设、改造和维护以及场站设置和管线建设、改造等应当服从市规划部门的总体安排，并遵守相关道路和绿化管理法律、法规。因紧急情况需要抢修时，经营者可以先实施抢修，同时告知有关部门，并补办有关手续。</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210" w:firstLineChars="100"/>
        <w:jc w:val="both"/>
        <w:textAlignment w:val="auto"/>
        <w:outlineLvl w:val="9"/>
        <w:rPr>
          <w:rFonts w:hint="eastAsia"/>
          <w:lang w:val="en-US" w:eastAsia="zh-CN"/>
        </w:rPr>
      </w:pPr>
      <w:r>
        <w:rPr>
          <w:rFonts w:hint="eastAsia"/>
          <w:lang w:val="en-US" w:eastAsia="zh-CN"/>
        </w:rPr>
        <w:t>    第三十二条经营者应当对公用设施进行定期检修保养和更新改造，确保不间断提供约定的公共产品和服务，并按时向监管部门报告设施运行情况。</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210" w:firstLineChars="100"/>
        <w:jc w:val="both"/>
        <w:textAlignment w:val="auto"/>
        <w:outlineLvl w:val="9"/>
        <w:rPr>
          <w:rFonts w:hint="eastAsia"/>
          <w:lang w:val="en-US" w:eastAsia="zh-CN"/>
        </w:rPr>
      </w:pPr>
      <w:r>
        <w:rPr>
          <w:rFonts w:hint="eastAsia"/>
          <w:lang w:val="en-US" w:eastAsia="zh-CN"/>
        </w:rPr>
        <w:t>    第三十三条经营者应当对各项公用设施的图纸等资料进行收集、整理和归档，完善公用设施信息化管理系统，并与监管部门联网。</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210" w:firstLineChars="100"/>
        <w:jc w:val="both"/>
        <w:textAlignment w:val="auto"/>
        <w:outlineLvl w:val="9"/>
        <w:rPr>
          <w:rFonts w:hint="eastAsia"/>
          <w:lang w:val="en-US" w:eastAsia="zh-CN"/>
        </w:rPr>
      </w:pPr>
      <w:r>
        <w:rPr>
          <w:rFonts w:hint="eastAsia"/>
          <w:lang w:val="en-US" w:eastAsia="zh-CN"/>
        </w:rPr>
        <w:t>    第三十四条市政府因公共利益需要可以依法征用公用设施或者指令经营者承担公益服务，经营者应当予以配合，市政府应当给予经营者合理补偿。</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210" w:firstLineChars="100"/>
        <w:jc w:val="both"/>
        <w:textAlignment w:val="auto"/>
        <w:outlineLvl w:val="9"/>
        <w:rPr>
          <w:rFonts w:hint="eastAsia"/>
          <w:lang w:val="en-US" w:eastAsia="zh-CN"/>
        </w:rPr>
      </w:pPr>
      <w:r>
        <w:rPr>
          <w:rFonts w:hint="eastAsia"/>
          <w:lang w:val="en-US" w:eastAsia="zh-CN"/>
        </w:rPr>
        <w:t>    第三十五条特许经营期限届满或者特许经营权被撤销后，原经营者应当在监管部门规定的时间内，将维持特许经营业务正常运作所必需的资产及档案，在正常运行情况下移交监管部门指定的单位。</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210" w:firstLineChars="100"/>
        <w:jc w:val="both"/>
        <w:textAlignment w:val="auto"/>
        <w:outlineLvl w:val="9"/>
        <w:rPr>
          <w:rFonts w:hint="eastAsia"/>
          <w:lang w:val="en-US" w:eastAsia="zh-CN"/>
        </w:rPr>
      </w:pPr>
      <w:r>
        <w:rPr>
          <w:rFonts w:hint="eastAsia"/>
          <w:lang w:val="en-US" w:eastAsia="zh-CN"/>
        </w:rPr>
        <w:t>    第三十六条特许经营期限届满或者特许经营权被撤销后，原经营者应当在监管部门指定的单位完成接管前，继续维持正常的经营服务。</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210" w:firstLineChars="100"/>
        <w:jc w:val="both"/>
        <w:textAlignment w:val="auto"/>
        <w:outlineLvl w:val="9"/>
        <w:rPr>
          <w:rFonts w:hint="eastAsia"/>
          <w:lang w:val="en-US" w:eastAsia="zh-CN"/>
        </w:rPr>
      </w:pPr>
      <w:r>
        <w:rPr>
          <w:rFonts w:hint="eastAsia"/>
          <w:lang w:val="en-US" w:eastAsia="zh-CN"/>
        </w:rPr>
        <w:t>    属于本条例第十二条第一款第（二）项规定情形的，市政府应当对原经营者为维持特许经营业务正常运作所投资建设的固定资产净值部分，给予合理补偿。</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210" w:firstLineChars="100"/>
        <w:jc w:val="both"/>
        <w:textAlignment w:val="auto"/>
        <w:outlineLvl w:val="9"/>
        <w:rPr>
          <w:rFonts w:hint="eastAsia"/>
          <w:lang w:val="en-US" w:eastAsia="zh-CN"/>
        </w:rPr>
      </w:pPr>
      <w:r>
        <w:rPr>
          <w:rFonts w:hint="eastAsia"/>
          <w:lang w:val="en-US" w:eastAsia="zh-CN"/>
        </w:rPr>
        <w:t>    第三十七条特许经营期间，因不可抗力的原因无法继续正常经营的，经营者应当及时报告市政府，经市政府同意，可以提前终止特许经营。</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210" w:firstLineChars="100"/>
        <w:jc w:val="both"/>
        <w:textAlignment w:val="auto"/>
        <w:outlineLvl w:val="9"/>
        <w:rPr>
          <w:rFonts w:hint="eastAsia"/>
          <w:lang w:val="en-US" w:eastAsia="zh-CN"/>
        </w:rPr>
      </w:pPr>
      <w:r>
        <w:rPr>
          <w:rFonts w:hint="eastAsia"/>
          <w:lang w:val="en-US" w:eastAsia="zh-CN"/>
        </w:rPr>
        <w:t>    第四章价格第三十八条经营者应当执行价格监管规定，按照市政府制定的价格标准向用户收取费用。</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210" w:firstLineChars="100"/>
        <w:jc w:val="both"/>
        <w:textAlignment w:val="auto"/>
        <w:outlineLvl w:val="9"/>
        <w:rPr>
          <w:rFonts w:hint="eastAsia"/>
          <w:lang w:val="en-US" w:eastAsia="zh-CN"/>
        </w:rPr>
      </w:pPr>
      <w:r>
        <w:rPr>
          <w:rFonts w:hint="eastAsia"/>
          <w:lang w:val="en-US" w:eastAsia="zh-CN"/>
        </w:rPr>
        <w:t>    市政府与经营者对价格有约定的，经营者应当按照约定价格向用户收取费用。</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210" w:firstLineChars="100"/>
        <w:jc w:val="both"/>
        <w:textAlignment w:val="auto"/>
        <w:outlineLvl w:val="9"/>
        <w:rPr>
          <w:rFonts w:hint="eastAsia"/>
          <w:lang w:val="en-US" w:eastAsia="zh-CN"/>
        </w:rPr>
      </w:pPr>
      <w:r>
        <w:rPr>
          <w:rFonts w:hint="eastAsia"/>
          <w:lang w:val="en-US" w:eastAsia="zh-CN"/>
        </w:rPr>
        <w:t>    第三十九条市政府价格主管部门会同监管部门负责制定公用事业价格方案，报市政府批准后执行。</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210" w:firstLineChars="100"/>
        <w:jc w:val="both"/>
        <w:textAlignment w:val="auto"/>
        <w:outlineLvl w:val="9"/>
        <w:rPr>
          <w:rFonts w:hint="eastAsia"/>
          <w:lang w:val="en-US" w:eastAsia="zh-CN"/>
        </w:rPr>
      </w:pPr>
      <w:r>
        <w:rPr>
          <w:rFonts w:hint="eastAsia"/>
          <w:lang w:val="en-US" w:eastAsia="zh-CN"/>
        </w:rPr>
        <w:t>    第四十条公用事业价格应当依据社会平均成本、经营者合理收益、社会承受能力以及其他相关因素予以确定。</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210" w:firstLineChars="100"/>
        <w:jc w:val="both"/>
        <w:textAlignment w:val="auto"/>
        <w:outlineLvl w:val="9"/>
        <w:rPr>
          <w:rFonts w:hint="eastAsia"/>
          <w:lang w:val="en-US" w:eastAsia="zh-CN"/>
        </w:rPr>
      </w:pPr>
      <w:r>
        <w:rPr>
          <w:rFonts w:hint="eastAsia"/>
          <w:lang w:val="en-US" w:eastAsia="zh-CN"/>
        </w:rPr>
        <w:t>    经营者的合理收益，应当根据不同行业特点，分别采取净资产或者固定资产净值收益率、投资收益率、成本收益率等方式予以核定。</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210" w:firstLineChars="100"/>
        <w:jc w:val="both"/>
        <w:textAlignment w:val="auto"/>
        <w:outlineLvl w:val="9"/>
        <w:rPr>
          <w:rFonts w:hint="eastAsia"/>
          <w:lang w:val="en-US" w:eastAsia="zh-CN"/>
        </w:rPr>
      </w:pPr>
      <w:r>
        <w:rPr>
          <w:rFonts w:hint="eastAsia"/>
          <w:lang w:val="en-US" w:eastAsia="zh-CN"/>
        </w:rPr>
        <w:t>    第四十一条市政府应当根据社会平均利润水平、银行利率和物价指数等因素确定公用事业各行业的收益率水平。价格主管部门应当会同监管部门每年对公用事业各行业的收益率水平进行考核，必要时报市政府予以调整。</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210" w:firstLineChars="100"/>
        <w:jc w:val="both"/>
        <w:textAlignment w:val="auto"/>
        <w:outlineLvl w:val="9"/>
        <w:rPr>
          <w:rFonts w:hint="eastAsia"/>
          <w:lang w:val="en-US" w:eastAsia="zh-CN"/>
        </w:rPr>
      </w:pPr>
      <w:r>
        <w:rPr>
          <w:rFonts w:hint="eastAsia"/>
          <w:lang w:val="en-US" w:eastAsia="zh-CN"/>
        </w:rPr>
        <w:t>    第四十二条价格主管部门应当建立定期审价制度，设立成本资料数据库，形成有效的成本约束机制。制定价格方案时，应当委托有资格的审计机构对经营成本进行审计，确保成本的真实性和准确性。</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210" w:firstLineChars="100"/>
        <w:jc w:val="both"/>
        <w:textAlignment w:val="auto"/>
        <w:outlineLvl w:val="9"/>
        <w:rPr>
          <w:rFonts w:hint="eastAsia"/>
          <w:lang w:val="en-US" w:eastAsia="zh-CN"/>
        </w:rPr>
      </w:pPr>
      <w:r>
        <w:rPr>
          <w:rFonts w:hint="eastAsia"/>
          <w:lang w:val="en-US" w:eastAsia="zh-CN"/>
        </w:rPr>
        <w:t>    第四十三条公用事业价格制定或者调整，可以由经营者或者公用事业公众监督组织、消费者组织、行业协会监管部门向价格主管部门提出书面申请；价格主管部门或者其他有关部门根据价格法有关规定也可以直接提出定价、调价方案。</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210" w:firstLineChars="100"/>
        <w:jc w:val="both"/>
        <w:textAlignment w:val="auto"/>
        <w:outlineLvl w:val="9"/>
        <w:rPr>
          <w:rFonts w:hint="eastAsia"/>
          <w:lang w:val="en-US" w:eastAsia="zh-CN"/>
        </w:rPr>
      </w:pPr>
      <w:r>
        <w:rPr>
          <w:rFonts w:hint="eastAsia"/>
          <w:lang w:val="en-US" w:eastAsia="zh-CN"/>
        </w:rPr>
        <w:t>    第四十四条价格主管部门收到申请后，应当对申请材料进行审查、核实，申请材料不齐备的，应当要求申请人限期补正。对申请审核后，认为符合价格制定或者调整条件的，应当予以受理。</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210" w:firstLineChars="100"/>
        <w:jc w:val="both"/>
        <w:textAlignment w:val="auto"/>
        <w:outlineLvl w:val="9"/>
        <w:rPr>
          <w:rFonts w:hint="eastAsia"/>
          <w:lang w:val="en-US" w:eastAsia="zh-CN"/>
        </w:rPr>
      </w:pPr>
      <w:r>
        <w:rPr>
          <w:rFonts w:hint="eastAsia"/>
          <w:lang w:val="en-US" w:eastAsia="zh-CN"/>
        </w:rPr>
        <w:t>    第四十五条价格主管部门在受理制定和调整价格申请后，应当开展社会平均成本和社会承受能力调查，并在作出受理决定之日起三个月内举行听证会。</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210" w:firstLineChars="100"/>
        <w:jc w:val="both"/>
        <w:textAlignment w:val="auto"/>
        <w:outlineLvl w:val="9"/>
        <w:rPr>
          <w:rFonts w:hint="eastAsia"/>
          <w:lang w:val="en-US" w:eastAsia="zh-CN"/>
        </w:rPr>
      </w:pPr>
      <w:r>
        <w:rPr>
          <w:rFonts w:hint="eastAsia"/>
          <w:lang w:val="en-US" w:eastAsia="zh-CN"/>
        </w:rPr>
        <w:t>    听证会举行十日前，价格主管部门应当将听证材料送达听证会代表。听证会应当在三分之二以上听证会代表出席时举行。</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210" w:firstLineChars="100"/>
        <w:jc w:val="both"/>
        <w:textAlignment w:val="auto"/>
        <w:outlineLvl w:val="9"/>
        <w:rPr>
          <w:rFonts w:hint="eastAsia"/>
          <w:lang w:val="en-US" w:eastAsia="zh-CN"/>
        </w:rPr>
      </w:pPr>
      <w:r>
        <w:rPr>
          <w:rFonts w:hint="eastAsia"/>
          <w:lang w:val="en-US" w:eastAsia="zh-CN"/>
        </w:rPr>
        <w:t>    第四十六条价格主管部门在会同监管部门制定价格方案时应当充分吸收听证会所提出的意见。上报市政府批准时应当同时提交听证会纪要、听证会笔录和有关材料。</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210" w:firstLineChars="100"/>
        <w:jc w:val="both"/>
        <w:textAlignment w:val="auto"/>
        <w:outlineLvl w:val="9"/>
        <w:rPr>
          <w:rFonts w:hint="eastAsia"/>
          <w:lang w:val="en-US" w:eastAsia="zh-CN"/>
        </w:rPr>
      </w:pPr>
      <w:r>
        <w:rPr>
          <w:rFonts w:hint="eastAsia"/>
          <w:lang w:val="en-US" w:eastAsia="zh-CN"/>
        </w:rPr>
        <w:t>    第四十七条价格方案批准后，由价格主管部门通过新闻媒体向社会公布，并组织实施。</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210" w:firstLineChars="100"/>
        <w:jc w:val="both"/>
        <w:textAlignment w:val="auto"/>
        <w:outlineLvl w:val="9"/>
        <w:rPr>
          <w:rFonts w:hint="eastAsia"/>
          <w:lang w:val="en-US" w:eastAsia="zh-CN"/>
        </w:rPr>
      </w:pPr>
      <w:r>
        <w:rPr>
          <w:rFonts w:hint="eastAsia"/>
          <w:lang w:val="en-US" w:eastAsia="zh-CN"/>
        </w:rPr>
        <w:t>    第四十八条公用事业价格应当保持相对稳定。市政府可以根据公用事业不同行业的特点设立价格调节准备金，专项用于公用事业价格和利润的调控。具体办法由市政府另行规定。</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210" w:firstLineChars="100"/>
        <w:jc w:val="both"/>
        <w:textAlignment w:val="auto"/>
        <w:outlineLvl w:val="9"/>
        <w:rPr>
          <w:rFonts w:hint="eastAsia"/>
          <w:lang w:val="en-US" w:eastAsia="zh-CN"/>
        </w:rPr>
      </w:pPr>
      <w:r>
        <w:rPr>
          <w:rFonts w:hint="eastAsia"/>
          <w:lang w:val="en-US" w:eastAsia="zh-CN"/>
        </w:rPr>
        <w:t>    第五章监管第四十九条监管部门对经营者进行监督管理，履行下列职责：</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210" w:firstLineChars="100"/>
        <w:jc w:val="both"/>
        <w:textAlignment w:val="auto"/>
        <w:outlineLvl w:val="9"/>
        <w:rPr>
          <w:rFonts w:hint="eastAsia"/>
          <w:lang w:val="en-US" w:eastAsia="zh-CN"/>
        </w:rPr>
      </w:pPr>
      <w:r>
        <w:rPr>
          <w:rFonts w:hint="eastAsia"/>
          <w:lang w:val="en-US" w:eastAsia="zh-CN"/>
        </w:rPr>
        <w:t>    （一）组织制定公共产品和服务质量标准；</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210" w:firstLineChars="100"/>
        <w:jc w:val="both"/>
        <w:textAlignment w:val="auto"/>
        <w:outlineLvl w:val="9"/>
        <w:rPr>
          <w:rFonts w:hint="eastAsia"/>
          <w:lang w:val="en-US" w:eastAsia="zh-CN"/>
        </w:rPr>
      </w:pPr>
      <w:r>
        <w:rPr>
          <w:rFonts w:hint="eastAsia"/>
          <w:lang w:val="en-US" w:eastAsia="zh-CN"/>
        </w:rPr>
        <w:t>    （二）监督经营者履行授权书和特许经营协议规定的义务；</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210" w:firstLineChars="100"/>
        <w:jc w:val="both"/>
        <w:textAlignment w:val="auto"/>
        <w:outlineLvl w:val="9"/>
        <w:rPr>
          <w:rFonts w:hint="eastAsia"/>
          <w:lang w:val="en-US" w:eastAsia="zh-CN"/>
        </w:rPr>
      </w:pPr>
      <w:r>
        <w:rPr>
          <w:rFonts w:hint="eastAsia"/>
          <w:lang w:val="en-US" w:eastAsia="zh-CN"/>
        </w:rPr>
        <w:t>    （三）受理公众对经营者的投诉；</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210" w:firstLineChars="100"/>
        <w:jc w:val="both"/>
        <w:textAlignment w:val="auto"/>
        <w:outlineLvl w:val="9"/>
        <w:rPr>
          <w:rFonts w:hint="eastAsia"/>
          <w:lang w:val="en-US" w:eastAsia="zh-CN"/>
        </w:rPr>
      </w:pPr>
      <w:r>
        <w:rPr>
          <w:rFonts w:hint="eastAsia"/>
          <w:lang w:val="en-US" w:eastAsia="zh-CN"/>
        </w:rPr>
        <w:t>    （四）依法查处经营者的违法行为；</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210" w:firstLineChars="100"/>
        <w:jc w:val="both"/>
        <w:textAlignment w:val="auto"/>
        <w:outlineLvl w:val="9"/>
        <w:rPr>
          <w:rFonts w:hint="eastAsia"/>
          <w:lang w:val="en-US" w:eastAsia="zh-CN"/>
        </w:rPr>
      </w:pPr>
      <w:r>
        <w:rPr>
          <w:rFonts w:hint="eastAsia"/>
          <w:lang w:val="en-US" w:eastAsia="zh-CN"/>
        </w:rPr>
        <w:t>    （五）对经营者的五年及年度经营计划提出意见和建议，并监督实施；</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210" w:firstLineChars="100"/>
        <w:jc w:val="both"/>
        <w:textAlignment w:val="auto"/>
        <w:outlineLvl w:val="9"/>
        <w:rPr>
          <w:rFonts w:hint="eastAsia"/>
          <w:lang w:val="en-US" w:eastAsia="zh-CN"/>
        </w:rPr>
      </w:pPr>
      <w:r>
        <w:rPr>
          <w:rFonts w:hint="eastAsia"/>
          <w:lang w:val="en-US" w:eastAsia="zh-CN"/>
        </w:rPr>
        <w:t>    （六）监督检查经营者提供的公共产品和服务质量；</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210" w:firstLineChars="100"/>
        <w:jc w:val="both"/>
        <w:textAlignment w:val="auto"/>
        <w:outlineLvl w:val="9"/>
        <w:rPr>
          <w:rFonts w:hint="eastAsia"/>
          <w:lang w:val="en-US" w:eastAsia="zh-CN"/>
        </w:rPr>
      </w:pPr>
      <w:r>
        <w:rPr>
          <w:rFonts w:hint="eastAsia"/>
          <w:lang w:val="en-US" w:eastAsia="zh-CN"/>
        </w:rPr>
        <w:t>    （七）协助价格主管部门制定价格方案；</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210" w:firstLineChars="100"/>
        <w:jc w:val="both"/>
        <w:textAlignment w:val="auto"/>
        <w:outlineLvl w:val="9"/>
        <w:rPr>
          <w:rFonts w:hint="eastAsia"/>
          <w:lang w:val="en-US" w:eastAsia="zh-CN"/>
        </w:rPr>
      </w:pPr>
      <w:r>
        <w:rPr>
          <w:rFonts w:hint="eastAsia"/>
          <w:lang w:val="en-US" w:eastAsia="zh-CN"/>
        </w:rPr>
        <w:t>    （八）审查经营者的年度报告；</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210" w:firstLineChars="100"/>
        <w:jc w:val="both"/>
        <w:textAlignment w:val="auto"/>
        <w:outlineLvl w:val="9"/>
        <w:rPr>
          <w:rFonts w:hint="eastAsia"/>
          <w:lang w:val="en-US" w:eastAsia="zh-CN"/>
        </w:rPr>
      </w:pPr>
      <w:r>
        <w:rPr>
          <w:rFonts w:hint="eastAsia"/>
          <w:lang w:val="en-US" w:eastAsia="zh-CN"/>
        </w:rPr>
        <w:t>    （九）向市政府提交对经营者的年度监督检查报告；</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210" w:firstLineChars="100"/>
        <w:jc w:val="both"/>
        <w:textAlignment w:val="auto"/>
        <w:outlineLvl w:val="9"/>
        <w:rPr>
          <w:rFonts w:hint="eastAsia"/>
          <w:lang w:val="en-US" w:eastAsia="zh-CN"/>
        </w:rPr>
      </w:pPr>
      <w:r>
        <w:rPr>
          <w:rFonts w:hint="eastAsia"/>
          <w:lang w:val="en-US" w:eastAsia="zh-CN"/>
        </w:rPr>
        <w:t>    （十）紧急情况时组织临时接管公用事业经营；</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210" w:firstLineChars="100"/>
        <w:jc w:val="both"/>
        <w:textAlignment w:val="auto"/>
        <w:outlineLvl w:val="9"/>
        <w:rPr>
          <w:rFonts w:hint="eastAsia"/>
          <w:lang w:val="en-US" w:eastAsia="zh-CN"/>
        </w:rPr>
      </w:pPr>
      <w:r>
        <w:rPr>
          <w:rFonts w:hint="eastAsia"/>
          <w:lang w:val="en-US" w:eastAsia="zh-CN"/>
        </w:rPr>
        <w:t>    （十一）法律、法规规定的其他职责。</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210" w:firstLineChars="100"/>
        <w:jc w:val="both"/>
        <w:textAlignment w:val="auto"/>
        <w:outlineLvl w:val="9"/>
        <w:rPr>
          <w:rFonts w:hint="eastAsia"/>
          <w:lang w:val="en-US" w:eastAsia="zh-CN"/>
        </w:rPr>
      </w:pPr>
      <w:r>
        <w:rPr>
          <w:rFonts w:hint="eastAsia"/>
          <w:lang w:val="en-US" w:eastAsia="zh-CN"/>
        </w:rPr>
        <w:t>    第五十条监管部门应当制定特许经营监管应急预案，在经营者擅自停业、歇业或者市政府决定撤销特许经营权时，能有效组织临时接管，或者采取其他有效措施保证公共产品或者服务的连续性、稳定性。</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210" w:firstLineChars="100"/>
        <w:jc w:val="both"/>
        <w:textAlignment w:val="auto"/>
        <w:outlineLvl w:val="9"/>
        <w:rPr>
          <w:rFonts w:hint="eastAsia"/>
          <w:lang w:val="en-US" w:eastAsia="zh-CN"/>
        </w:rPr>
      </w:pPr>
      <w:r>
        <w:rPr>
          <w:rFonts w:hint="eastAsia"/>
          <w:lang w:val="en-US" w:eastAsia="zh-CN"/>
        </w:rPr>
        <w:t>    第五十一条市政府应当分不同行业设立公用事业公众监督委员会，代表公众对特许经营活动进行监督。</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210" w:firstLineChars="100"/>
        <w:jc w:val="both"/>
        <w:textAlignment w:val="auto"/>
        <w:outlineLvl w:val="9"/>
        <w:rPr>
          <w:rFonts w:hint="eastAsia"/>
          <w:lang w:val="en-US" w:eastAsia="zh-CN"/>
        </w:rPr>
      </w:pPr>
      <w:r>
        <w:rPr>
          <w:rFonts w:hint="eastAsia"/>
          <w:lang w:val="en-US" w:eastAsia="zh-CN"/>
        </w:rPr>
        <w:t>    委员会成员中非政府部门的专家和公众代表不得少于三分之二。</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210" w:firstLineChars="100"/>
        <w:jc w:val="both"/>
        <w:textAlignment w:val="auto"/>
        <w:outlineLvl w:val="9"/>
        <w:rPr>
          <w:rFonts w:hint="eastAsia"/>
          <w:lang w:val="en-US" w:eastAsia="zh-CN"/>
        </w:rPr>
      </w:pPr>
      <w:r>
        <w:rPr>
          <w:rFonts w:hint="eastAsia"/>
          <w:lang w:val="en-US" w:eastAsia="zh-CN"/>
        </w:rPr>
        <w:t>    经营者应当按年度向公众监督委员会通报经营情况。</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210" w:firstLineChars="100"/>
        <w:jc w:val="both"/>
        <w:textAlignment w:val="auto"/>
        <w:outlineLvl w:val="9"/>
        <w:rPr>
          <w:rFonts w:hint="eastAsia"/>
          <w:lang w:val="en-US" w:eastAsia="zh-CN"/>
        </w:rPr>
      </w:pPr>
      <w:r>
        <w:rPr>
          <w:rFonts w:hint="eastAsia"/>
          <w:lang w:val="en-US" w:eastAsia="zh-CN"/>
        </w:rPr>
        <w:t>    公众监督委员会可以通过听证会、座谈会、问卷调查等方式收集公众意见，提出立法、监管等建议，代表公众对特许经营进行监督。</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210" w:firstLineChars="100"/>
        <w:jc w:val="both"/>
        <w:textAlignment w:val="auto"/>
        <w:outlineLvl w:val="9"/>
        <w:rPr>
          <w:rFonts w:hint="eastAsia"/>
          <w:lang w:val="en-US" w:eastAsia="zh-CN"/>
        </w:rPr>
      </w:pPr>
      <w:r>
        <w:rPr>
          <w:rFonts w:hint="eastAsia"/>
          <w:lang w:val="en-US" w:eastAsia="zh-CN"/>
        </w:rPr>
        <w:t>    第五十二条监管部门行使监督管理职责，不得妨碍经营者正常的生产经营活动，不得索取或者收受经营者的财物，不得谋取其他不正当利益。</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210" w:firstLineChars="100"/>
        <w:jc w:val="both"/>
        <w:textAlignment w:val="auto"/>
        <w:outlineLvl w:val="9"/>
        <w:rPr>
          <w:rFonts w:hint="eastAsia"/>
          <w:lang w:val="en-US" w:eastAsia="zh-CN"/>
        </w:rPr>
      </w:pPr>
      <w:r>
        <w:rPr>
          <w:rFonts w:hint="eastAsia"/>
          <w:lang w:val="en-US" w:eastAsia="zh-CN"/>
        </w:rPr>
        <w:t>    第六章法律责任第五十三条经营者违反本条例规定，依照有关法律、法规和规章的规定予以处罚。</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210" w:firstLineChars="100"/>
        <w:jc w:val="both"/>
        <w:textAlignment w:val="auto"/>
        <w:outlineLvl w:val="9"/>
        <w:rPr>
          <w:rFonts w:hint="eastAsia"/>
          <w:lang w:val="en-US" w:eastAsia="zh-CN"/>
        </w:rPr>
      </w:pPr>
      <w:r>
        <w:rPr>
          <w:rFonts w:hint="eastAsia"/>
          <w:lang w:val="en-US" w:eastAsia="zh-CN"/>
        </w:rPr>
        <w:t>    第五十四条以欺骗、贿赂等不正当手段取得特许经营权的，市政府应当撤销其特许经营权，构成犯罪的，提请司法机关依法追究刑事责任。</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210" w:firstLineChars="100"/>
        <w:jc w:val="both"/>
        <w:textAlignment w:val="auto"/>
        <w:outlineLvl w:val="9"/>
        <w:rPr>
          <w:rFonts w:hint="eastAsia"/>
          <w:lang w:val="en-US" w:eastAsia="zh-CN"/>
        </w:rPr>
      </w:pPr>
      <w:r>
        <w:rPr>
          <w:rFonts w:hint="eastAsia"/>
          <w:lang w:val="en-US" w:eastAsia="zh-CN"/>
        </w:rPr>
        <w:t>    第五十五条经营者有下列情形之一的，市政府应当责令其限期改正，逾期未改正的，撤销其特许经营权：</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210" w:firstLineChars="100"/>
        <w:jc w:val="both"/>
        <w:textAlignment w:val="auto"/>
        <w:outlineLvl w:val="9"/>
        <w:rPr>
          <w:rFonts w:hint="eastAsia"/>
          <w:lang w:val="en-US" w:eastAsia="zh-CN"/>
        </w:rPr>
      </w:pPr>
      <w:r>
        <w:rPr>
          <w:rFonts w:hint="eastAsia"/>
          <w:lang w:val="en-US" w:eastAsia="zh-CN"/>
        </w:rPr>
        <w:t>    （一）未经市政府同意，以转让、出租、质押等方式处分特许经营权的；</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210" w:firstLineChars="100"/>
        <w:jc w:val="both"/>
        <w:textAlignment w:val="auto"/>
        <w:outlineLvl w:val="9"/>
        <w:rPr>
          <w:rFonts w:hint="eastAsia"/>
          <w:lang w:val="en-US" w:eastAsia="zh-CN"/>
        </w:rPr>
      </w:pPr>
      <w:r>
        <w:rPr>
          <w:rFonts w:hint="eastAsia"/>
          <w:lang w:val="en-US" w:eastAsia="zh-CN"/>
        </w:rPr>
        <w:t>    （二）因转让股权而出现不符合特许经营协议约定的授权资格条件的；</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210" w:firstLineChars="100"/>
        <w:jc w:val="both"/>
        <w:textAlignment w:val="auto"/>
        <w:outlineLvl w:val="9"/>
        <w:rPr>
          <w:rFonts w:hint="eastAsia"/>
          <w:lang w:val="en-US" w:eastAsia="zh-CN"/>
        </w:rPr>
      </w:pPr>
      <w:r>
        <w:rPr>
          <w:rFonts w:hint="eastAsia"/>
          <w:lang w:val="en-US" w:eastAsia="zh-CN"/>
        </w:rPr>
        <w:t>    （三）达不到公用事业产品、服务的标准和要求，严重影响公众利益的；</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210" w:firstLineChars="100"/>
        <w:jc w:val="both"/>
        <w:textAlignment w:val="auto"/>
        <w:outlineLvl w:val="9"/>
        <w:rPr>
          <w:rFonts w:hint="eastAsia"/>
          <w:lang w:val="en-US" w:eastAsia="zh-CN"/>
        </w:rPr>
      </w:pPr>
      <w:r>
        <w:rPr>
          <w:rFonts w:hint="eastAsia"/>
          <w:lang w:val="en-US" w:eastAsia="zh-CN"/>
        </w:rPr>
        <w:t>    （四）因经营管理不善，造成重大安全责任事故的；</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210" w:firstLineChars="100"/>
        <w:jc w:val="both"/>
        <w:textAlignment w:val="auto"/>
        <w:outlineLvl w:val="9"/>
        <w:rPr>
          <w:rFonts w:hint="eastAsia"/>
          <w:lang w:val="en-US" w:eastAsia="zh-CN"/>
        </w:rPr>
      </w:pPr>
      <w:r>
        <w:rPr>
          <w:rFonts w:hint="eastAsia"/>
          <w:lang w:val="en-US" w:eastAsia="zh-CN"/>
        </w:rPr>
        <w:t>    （五）因经营管理不善，财务状况严重恶化，危及公众利益的；</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210" w:firstLineChars="100"/>
        <w:jc w:val="both"/>
        <w:textAlignment w:val="auto"/>
        <w:outlineLvl w:val="9"/>
        <w:rPr>
          <w:rFonts w:hint="eastAsia"/>
          <w:lang w:val="en-US" w:eastAsia="zh-CN"/>
        </w:rPr>
      </w:pPr>
      <w:r>
        <w:rPr>
          <w:rFonts w:hint="eastAsia"/>
          <w:lang w:val="en-US" w:eastAsia="zh-CN"/>
        </w:rPr>
        <w:t>    （六）不按城市规划建设、改造和维护公用设施的；</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210" w:firstLineChars="100"/>
        <w:jc w:val="both"/>
        <w:textAlignment w:val="auto"/>
        <w:outlineLvl w:val="9"/>
        <w:rPr>
          <w:rFonts w:hint="eastAsia"/>
          <w:lang w:val="en-US" w:eastAsia="zh-CN"/>
        </w:rPr>
      </w:pPr>
      <w:r>
        <w:rPr>
          <w:rFonts w:hint="eastAsia"/>
          <w:lang w:val="en-US" w:eastAsia="zh-CN"/>
        </w:rPr>
        <w:t>    （七）擅自停业、歇业的；</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210" w:firstLineChars="100"/>
        <w:jc w:val="both"/>
        <w:textAlignment w:val="auto"/>
        <w:outlineLvl w:val="9"/>
        <w:rPr>
          <w:rFonts w:hint="eastAsia"/>
          <w:lang w:val="en-US" w:eastAsia="zh-CN"/>
        </w:rPr>
      </w:pPr>
      <w:r>
        <w:rPr>
          <w:rFonts w:hint="eastAsia"/>
          <w:lang w:val="en-US" w:eastAsia="zh-CN"/>
        </w:rPr>
        <w:t>    （八）不履行法律、法规和授权书规定义务以及特许经营协议约定义务的；</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210" w:firstLineChars="100"/>
        <w:jc w:val="both"/>
        <w:textAlignment w:val="auto"/>
        <w:outlineLvl w:val="9"/>
        <w:rPr>
          <w:rFonts w:hint="eastAsia"/>
          <w:lang w:val="en-US" w:eastAsia="zh-CN"/>
        </w:rPr>
      </w:pPr>
      <w:r>
        <w:rPr>
          <w:rFonts w:hint="eastAsia"/>
          <w:lang w:val="en-US" w:eastAsia="zh-CN"/>
        </w:rPr>
        <w:t>    （九）法律、法规规定的其他情形。</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210" w:firstLineChars="100"/>
        <w:jc w:val="both"/>
        <w:textAlignment w:val="auto"/>
        <w:outlineLvl w:val="9"/>
        <w:rPr>
          <w:rFonts w:hint="eastAsia"/>
          <w:lang w:val="en-US" w:eastAsia="zh-CN"/>
        </w:rPr>
      </w:pPr>
      <w:r>
        <w:rPr>
          <w:rFonts w:hint="eastAsia"/>
          <w:lang w:val="en-US" w:eastAsia="zh-CN"/>
        </w:rPr>
        <w:t>    第五十六条市政府在做出撤销特许经营权的决定之前，由监管部门告知经营者有要求举行听证的权利。经营者要求举行听证的，监管部门应当组织听证。</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210" w:firstLineChars="100"/>
        <w:jc w:val="both"/>
        <w:textAlignment w:val="auto"/>
        <w:outlineLvl w:val="9"/>
        <w:rPr>
          <w:rFonts w:hint="eastAsia"/>
          <w:lang w:val="en-US" w:eastAsia="zh-CN"/>
        </w:rPr>
      </w:pPr>
      <w:r>
        <w:rPr>
          <w:rFonts w:hint="eastAsia"/>
          <w:lang w:val="en-US" w:eastAsia="zh-CN"/>
        </w:rPr>
        <w:t>    被撤销特许经营权的经营者，不得再申请特许经营权。</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210" w:firstLineChars="100"/>
        <w:jc w:val="both"/>
        <w:textAlignment w:val="auto"/>
        <w:outlineLvl w:val="9"/>
        <w:rPr>
          <w:rFonts w:hint="eastAsia"/>
          <w:lang w:val="en-US" w:eastAsia="zh-CN"/>
        </w:rPr>
      </w:pPr>
      <w:r>
        <w:rPr>
          <w:rFonts w:hint="eastAsia"/>
          <w:lang w:val="en-US" w:eastAsia="zh-CN"/>
        </w:rPr>
        <w:t>    第五十七条经营者或者其他行政处罚相对人、利害关系人对市政府和监管部门的处罚决定不服的，可以依法申请行政复议或者提起行政诉讼。</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210" w:firstLineChars="100"/>
        <w:jc w:val="both"/>
        <w:textAlignment w:val="auto"/>
        <w:outlineLvl w:val="9"/>
        <w:rPr>
          <w:rFonts w:hint="eastAsia"/>
          <w:lang w:val="en-US" w:eastAsia="zh-CN"/>
        </w:rPr>
      </w:pPr>
      <w:r>
        <w:rPr>
          <w:rFonts w:hint="eastAsia"/>
          <w:lang w:val="en-US" w:eastAsia="zh-CN"/>
        </w:rPr>
        <w:t>    第五十八条市政府有关部门工作人员滥用职权、徇私舞弊、玩忽职守、索贿受贿的，依照有关规定给予行政处分；构成犯罪的，依法追究刑事责任。</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210" w:firstLineChars="100"/>
        <w:jc w:val="both"/>
        <w:textAlignment w:val="auto"/>
        <w:outlineLvl w:val="9"/>
        <w:rPr>
          <w:rFonts w:hint="eastAsia"/>
          <w:lang w:val="en-US" w:eastAsia="zh-CN"/>
        </w:rPr>
      </w:pPr>
      <w:r>
        <w:rPr>
          <w:rFonts w:hint="eastAsia"/>
          <w:lang w:val="en-US" w:eastAsia="zh-CN"/>
        </w:rPr>
        <w:t>    第七章附则第五十九条区人民政府投资建设或者负责管理的公用事业，实行特许经营的，参照本条例执行。</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210" w:firstLineChars="100"/>
        <w:jc w:val="both"/>
        <w:textAlignment w:val="auto"/>
        <w:outlineLvl w:val="9"/>
        <w:rPr>
          <w:rFonts w:hint="eastAsia"/>
          <w:lang w:val="en-US" w:eastAsia="zh-CN"/>
        </w:rPr>
      </w:pPr>
      <w:r>
        <w:rPr>
          <w:rFonts w:hint="eastAsia"/>
          <w:lang w:val="en-US" w:eastAsia="zh-CN"/>
        </w:rPr>
        <w:t>    第六十条本条例自2006年3月1日起施行。</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210" w:firstLineChars="100"/>
        <w:jc w:val="both"/>
        <w:textAlignment w:val="auto"/>
        <w:outlineLvl w:val="9"/>
        <w:rPr>
          <w:rFonts w:hint="eastAsia"/>
          <w:lang w:val="en-US" w:eastAsia="zh-CN"/>
        </w:rPr>
      </w:pPr>
      <w:r>
        <w:rPr>
          <w:rFonts w:hint="eastAsia"/>
          <w:lang w:val="en-US" w:eastAsia="zh-CN"/>
        </w:rPr>
        <w:t>    本条例施行前已授权的特许经营项目，授权书和特许经营协议有规定的，从其规定；未作规定的，适用本条例。</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210" w:firstLineChars="100"/>
        <w:jc w:val="both"/>
        <w:textAlignment w:val="auto"/>
        <w:outlineLvl w:val="9"/>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Helvetica Neue">
    <w:altName w:val="SF Automaton Extended"/>
    <w:panose1 w:val="00000000000000000000"/>
    <w:charset w:val="00"/>
    <w:family w:val="auto"/>
    <w:pitch w:val="default"/>
    <w:sig w:usb0="00000000" w:usb1="00000000" w:usb2="00000000" w:usb3="00000000" w:csb0="00000000" w:csb1="00000000"/>
  </w:font>
  <w:font w:name="SF Automaton Extended">
    <w:panose1 w:val="02000400000000000000"/>
    <w:charset w:val="00"/>
    <w:family w:val="auto"/>
    <w:pitch w:val="default"/>
    <w:sig w:usb0="80000023" w:usb1="00000000" w:usb2="00000000" w:usb3="00000000" w:csb0="00000001" w:csb1="00000000"/>
  </w:font>
  <w:font w:name="Calibri Light">
    <w:panose1 w:val="020F0302020204030204"/>
    <w:charset w:val="00"/>
    <w:family w:val="auto"/>
    <w:pitch w:val="default"/>
    <w:sig w:usb0="A00002EF" w:usb1="4000207B" w:usb2="00000000" w:usb3="00000000" w:csb0="2000019F" w:csb1="00000000"/>
  </w:font>
  <w:font w:name="微软雅黑">
    <w:panose1 w:val="020B0503020204020204"/>
    <w:charset w:val="86"/>
    <w:family w:val="auto"/>
    <w:pitch w:val="default"/>
    <w:sig w:usb0="80000287" w:usb1="28CF3C52" w:usb2="00000016" w:usb3="00000000" w:csb0="0004001F" w:csb1="00000000"/>
  </w:font>
  <w:font w:name="sans-serif">
    <w:altName w:val="SF Automaton Extended"/>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ans serif">
    <w:altName w:val="SF Automaton Extended"/>
    <w:panose1 w:val="00000000000000000000"/>
    <w:charset w:val="00"/>
    <w:family w:val="auto"/>
    <w:pitch w:val="default"/>
    <w:sig w:usb0="00000000" w:usb1="00000000" w:usb2="00000000" w:usb3="00000000" w:csb0="00000000" w:csb1="00000000"/>
  </w:font>
  <w:font w:name="Tahoma">
    <w:panose1 w:val="020B0604030504040204"/>
    <w:charset w:val="00"/>
    <w:family w:val="auto"/>
    <w:pitch w:val="default"/>
    <w:sig w:usb0="E1002EFF" w:usb1="C000605B" w:usb2="00000029" w:usb3="00000000" w:csb0="200101FF" w:csb1="20280000"/>
  </w:font>
  <w:font w:name="方正小标宋简体">
    <w:altName w:val="微软雅黑"/>
    <w:panose1 w:val="00000000000000000000"/>
    <w:charset w:val="00"/>
    <w:family w:val="auto"/>
    <w:pitch w:val="default"/>
    <w:sig w:usb0="00000000" w:usb1="00000000" w:usb2="00000000" w:usb3="00000000" w:csb0="00000000" w:csb1="00000000"/>
  </w:font>
  <w:font w:name="方正书宋简体">
    <w:altName w:val="宋体"/>
    <w:panose1 w:val="00000000000000000000"/>
    <w:charset w:val="00"/>
    <w:family w:val="auto"/>
    <w:pitch w:val="default"/>
    <w:sig w:usb0="00000000" w:usb1="00000000" w:usb2="00000000" w:usb3="00000000" w:csb0="00000000"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auto"/>
    <w:pitch w:val="default"/>
    <w:sig w:usb0="A10006FF" w:usb1="4000205B" w:usb2="00000010" w:usb3="00000000" w:csb0="2000019F" w:csb1="00000000"/>
  </w:font>
  <w:font w:name="宋体: ; mso-spacerun:  yes :">
    <w:altName w:val="宋体"/>
    <w:panose1 w:val="00000000000000000000"/>
    <w:charset w:val="00"/>
    <w:family w:val="auto"/>
    <w:pitch w:val="default"/>
    <w:sig w:usb0="00000000" w:usb1="00000000" w:usb2="00000000" w:usb3="00000000" w:csb0="00000000" w:csb1="00000000"/>
  </w:font>
  <w:font w:name="宋体 ，Arial">
    <w:altName w:val="宋体"/>
    <w:panose1 w:val="00000000000000000000"/>
    <w:charset w:val="00"/>
    <w:family w:val="auto"/>
    <w:pitch w:val="default"/>
    <w:sig w:usb0="00000000" w:usb1="00000000" w:usb2="00000000" w:usb3="00000000" w:csb0="00000000" w:csb1="00000000"/>
  </w:font>
  <w:font w:name="MS PGothic">
    <w:panose1 w:val="020B0600070205080204"/>
    <w:charset w:val="80"/>
    <w:family w:val="auto"/>
    <w:pitch w:val="default"/>
    <w:sig w:usb0="E00002FF" w:usb1="6AC7FDFB" w:usb2="08000012" w:usb3="00000000" w:csb0="4002009F" w:csb1="DFD70000"/>
  </w:font>
  <w:font w:name="Arial">
    <w:panose1 w:val="020B0604020202020204"/>
    <w:charset w:val="00"/>
    <w:family w:val="auto"/>
    <w:pitch w:val="default"/>
    <w:sig w:usb0="E0002EFF" w:usb1="C0007843" w:usb2="00000009" w:usb3="00000000" w:csb0="400001FF" w:csb1="FFFF0000"/>
  </w:font>
  <w:font w:name="Glyphicons Halflings">
    <w:altName w:val="SF Automaton Extended"/>
    <w:panose1 w:val="00000000000000000000"/>
    <w:charset w:val="00"/>
    <w:family w:val="auto"/>
    <w:pitch w:val="default"/>
    <w:sig w:usb0="00000000" w:usb1="00000000" w:usb2="00000000" w:usb3="00000000" w:csb0="00000000" w:csb1="00000000"/>
  </w:font>
  <w:font w:name="Menlo">
    <w:altName w:val="SF Automaton Extended"/>
    <w:panose1 w:val="00000000000000000000"/>
    <w:charset w:val="00"/>
    <w:family w:val="auto"/>
    <w:pitch w:val="default"/>
    <w:sig w:usb0="00000000" w:usb1="00000000" w:usb2="00000000" w:usb3="00000000" w:csb0="00000000" w:csb1="00000000"/>
  </w:font>
  <w:font w:name="ˎ̥">
    <w:altName w:val="SF Automaton Extended"/>
    <w:panose1 w:val="00000000000000000000"/>
    <w:charset w:val="00"/>
    <w:family w:val="auto"/>
    <w:pitch w:val="default"/>
    <w:sig w:usb0="00000000" w:usb1="00000000" w:usb2="00000000" w:usb3="00000000" w:csb0="00000000" w:csb1="00000000"/>
  </w:font>
  <w:font w:name="+中文正文">
    <w:altName w:val="SF Automaton Extended"/>
    <w:panose1 w:val="00000000000000000000"/>
    <w:charset w:val="00"/>
    <w:family w:val="auto"/>
    <w:pitch w:val="default"/>
    <w:sig w:usb0="00000000" w:usb1="00000000" w:usb2="00000000" w:usb3="00000000" w:csb0="00000000" w:csb1="00000000"/>
  </w:font>
  <w:font w:name="+西文正文">
    <w:altName w:val="SF Automaton Extended"/>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 w:name="方正黑体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7960E9"/>
    <w:rsid w:val="02622662"/>
    <w:rsid w:val="06273D2F"/>
    <w:rsid w:val="066B5EED"/>
    <w:rsid w:val="0826101C"/>
    <w:rsid w:val="083246F7"/>
    <w:rsid w:val="083B2E68"/>
    <w:rsid w:val="08673D2A"/>
    <w:rsid w:val="0BFA61F5"/>
    <w:rsid w:val="172E5427"/>
    <w:rsid w:val="17EE545F"/>
    <w:rsid w:val="19453DBA"/>
    <w:rsid w:val="198860F9"/>
    <w:rsid w:val="1B0A3499"/>
    <w:rsid w:val="208E165E"/>
    <w:rsid w:val="2182268D"/>
    <w:rsid w:val="24EC5364"/>
    <w:rsid w:val="251865EA"/>
    <w:rsid w:val="275012D1"/>
    <w:rsid w:val="28461F24"/>
    <w:rsid w:val="2E287751"/>
    <w:rsid w:val="349458E8"/>
    <w:rsid w:val="36EA50A7"/>
    <w:rsid w:val="37C1347B"/>
    <w:rsid w:val="39E113F5"/>
    <w:rsid w:val="3B2F6EF7"/>
    <w:rsid w:val="3B3C4D54"/>
    <w:rsid w:val="3CDF67F3"/>
    <w:rsid w:val="3D961312"/>
    <w:rsid w:val="3D9A530C"/>
    <w:rsid w:val="41193F13"/>
    <w:rsid w:val="41F439C1"/>
    <w:rsid w:val="4B4F1F4F"/>
    <w:rsid w:val="4C710BC2"/>
    <w:rsid w:val="4D6C2539"/>
    <w:rsid w:val="4D765109"/>
    <w:rsid w:val="4EFF5BB2"/>
    <w:rsid w:val="52AE776A"/>
    <w:rsid w:val="552A4C57"/>
    <w:rsid w:val="56655F3F"/>
    <w:rsid w:val="572040A1"/>
    <w:rsid w:val="575C6B12"/>
    <w:rsid w:val="5CEA6EFD"/>
    <w:rsid w:val="5FFD6D65"/>
    <w:rsid w:val="6080698E"/>
    <w:rsid w:val="64013AF7"/>
    <w:rsid w:val="65A31D7F"/>
    <w:rsid w:val="69D8791C"/>
    <w:rsid w:val="6BEA2F00"/>
    <w:rsid w:val="6C7675A4"/>
    <w:rsid w:val="70283050"/>
    <w:rsid w:val="71A242AF"/>
    <w:rsid w:val="72F907FB"/>
    <w:rsid w:val="7584598A"/>
    <w:rsid w:val="78632FA7"/>
    <w:rsid w:val="78DE1F91"/>
    <w:rsid w:val="79EA7CFD"/>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before="100" w:beforeAutospacing="1"/>
      <w:ind w:leftChars="0" w:firstLine="420" w:firstLineChars="200"/>
      <w:jc w:val="both"/>
    </w:pPr>
    <w:rPr>
      <w:rFonts w:eastAsia="宋体" w:asciiTheme="minorAscii" w:hAnsiTheme="minorAscii" w:cstheme="minorBidi"/>
      <w:kern w:val="2"/>
      <w:sz w:val="21"/>
      <w:szCs w:val="24"/>
      <w:lang w:val="en-US" w:eastAsia="zh-CN" w:bidi="ar-SA"/>
    </w:rPr>
  </w:style>
  <w:style w:type="paragraph" w:styleId="2">
    <w:name w:val="heading 1"/>
    <w:basedOn w:val="1"/>
    <w:next w:val="1"/>
    <w:qFormat/>
    <w:uiPriority w:val="0"/>
    <w:pPr>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jc w:val="left"/>
    </w:pPr>
    <w:rPr>
      <w:rFonts w:hint="eastAsia" w:ascii="宋体" w:hAnsi="宋体" w:eastAsia="宋体" w:cs="宋体"/>
      <w:b/>
      <w:kern w:val="44"/>
      <w:sz w:val="24"/>
      <w:szCs w:val="24"/>
      <w:lang w:val="en-US" w:eastAsia="zh-CN" w:bidi="ar"/>
    </w:rPr>
  </w:style>
  <w:style w:type="paragraph" w:styleId="3">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4">
    <w:name w:val="heading 3"/>
    <w:basedOn w:val="1"/>
    <w:next w:val="1"/>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kern w:val="0"/>
      <w:sz w:val="24"/>
      <w:szCs w:val="24"/>
      <w:lang w:val="en-US" w:eastAsia="zh-CN" w:bidi="ar"/>
    </w:rPr>
  </w:style>
  <w:style w:type="paragraph" w:styleId="5">
    <w:name w:val="heading 4"/>
    <w:basedOn w:val="1"/>
    <w:next w:val="1"/>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7">
    <w:name w:val="Default Paragraph Font"/>
    <w:semiHidden/>
    <w:qFormat/>
    <w:uiPriority w:val="0"/>
  </w:style>
  <w:style w:type="table" w:default="1" w:styleId="19">
    <w:name w:val="Normal Table"/>
    <w:semiHidden/>
    <w:qFormat/>
    <w:uiPriority w:val="0"/>
    <w:tblPr>
      <w:tblLayout w:type="fixed"/>
      <w:tblCellMar>
        <w:top w:w="0" w:type="dxa"/>
        <w:left w:w="108" w:type="dxa"/>
        <w:bottom w:w="0" w:type="dxa"/>
        <w:right w:w="108" w:type="dxa"/>
      </w:tblCellMar>
    </w:tbl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style>
  <w:style w:type="character" w:styleId="9">
    <w:name w:val="FollowedHyperlink"/>
    <w:basedOn w:val="7"/>
    <w:qFormat/>
    <w:uiPriority w:val="0"/>
    <w:rPr>
      <w:color w:val="607FA6"/>
      <w:u w:val="none"/>
    </w:rPr>
  </w:style>
  <w:style w:type="character" w:styleId="10">
    <w:name w:val="Emphasis"/>
    <w:basedOn w:val="7"/>
    <w:qFormat/>
    <w:uiPriority w:val="0"/>
  </w:style>
  <w:style w:type="character" w:styleId="11">
    <w:name w:val="HTML Definition"/>
    <w:basedOn w:val="7"/>
    <w:qFormat/>
    <w:uiPriority w:val="0"/>
  </w:style>
  <w:style w:type="character" w:styleId="12">
    <w:name w:val="HTML Acronym"/>
    <w:basedOn w:val="7"/>
    <w:qFormat/>
    <w:uiPriority w:val="0"/>
  </w:style>
  <w:style w:type="character" w:styleId="13">
    <w:name w:val="HTML Variable"/>
    <w:basedOn w:val="7"/>
    <w:qFormat/>
    <w:uiPriority w:val="0"/>
  </w:style>
  <w:style w:type="character" w:styleId="14">
    <w:name w:val="Hyperlink"/>
    <w:basedOn w:val="7"/>
    <w:qFormat/>
    <w:uiPriority w:val="0"/>
    <w:rPr>
      <w:color w:val="607FA6"/>
      <w:u w:val="none"/>
    </w:rPr>
  </w:style>
  <w:style w:type="character" w:styleId="15">
    <w:name w:val="HTML Code"/>
    <w:basedOn w:val="7"/>
    <w:qFormat/>
    <w:uiPriority w:val="0"/>
    <w:rPr>
      <w:rFonts w:ascii="Menlo" w:hAnsi="Menlo" w:eastAsia="Menlo" w:cs="Menlo"/>
      <w:color w:val="C7254E"/>
      <w:sz w:val="21"/>
      <w:szCs w:val="21"/>
      <w:shd w:val="clear" w:fill="F9F2F4"/>
    </w:rPr>
  </w:style>
  <w:style w:type="character" w:styleId="16">
    <w:name w:val="HTML Cite"/>
    <w:basedOn w:val="7"/>
    <w:qFormat/>
    <w:uiPriority w:val="0"/>
  </w:style>
  <w:style w:type="character" w:styleId="17">
    <w:name w:val="HTML Keyboard"/>
    <w:basedOn w:val="7"/>
    <w:qFormat/>
    <w:uiPriority w:val="0"/>
    <w:rPr>
      <w:rFonts w:hint="default" w:ascii="Menlo" w:hAnsi="Menlo" w:eastAsia="Menlo" w:cs="Menlo"/>
      <w:color w:val="FFFFFF"/>
      <w:sz w:val="21"/>
      <w:szCs w:val="21"/>
      <w:shd w:val="clear" w:fill="333333"/>
    </w:rPr>
  </w:style>
  <w:style w:type="character" w:styleId="18">
    <w:name w:val="HTML Sample"/>
    <w:basedOn w:val="7"/>
    <w:qFormat/>
    <w:uiPriority w:val="0"/>
    <w:rPr>
      <w:rFonts w:hint="default" w:ascii="Menlo" w:hAnsi="Menlo" w:eastAsia="Menlo" w:cs="Menlo"/>
      <w:sz w:val="21"/>
      <w:szCs w:val="21"/>
    </w:rPr>
  </w:style>
  <w:style w:type="paragraph" w:customStyle="1" w:styleId="20">
    <w:name w:val="样式1"/>
    <w:basedOn w:val="1"/>
    <w:qFormat/>
    <w:uiPriority w:val="0"/>
    <w:pPr>
      <w:spacing w:before="120" w:beforeAutospacing="0"/>
      <w:ind w:firstLine="420" w:firstLineChars="200"/>
    </w:pPr>
  </w:style>
  <w:style w:type="character" w:customStyle="1" w:styleId="21">
    <w:name w:val="css_blue1"/>
    <w:basedOn w:val="7"/>
    <w:qFormat/>
    <w:uiPriority w:val="0"/>
    <w:rPr>
      <w:color w:val="4A81A8"/>
      <w:sz w:val="21"/>
      <w:szCs w:val="21"/>
    </w:rPr>
  </w:style>
  <w:style w:type="character" w:customStyle="1" w:styleId="22">
    <w:name w:val="rich_media_meta_nickname"/>
    <w:basedOn w:val="7"/>
    <w:qFormat/>
    <w:uiPriority w:val="0"/>
    <w:rPr>
      <w:vanish/>
    </w:rPr>
  </w:style>
  <w:style w:type="character" w:customStyle="1" w:styleId="23">
    <w:name w:val="rich_media_meta_nickname1"/>
    <w:basedOn w:val="7"/>
    <w:qFormat/>
    <w:uiPriority w:val="0"/>
  </w:style>
  <w:style w:type="character" w:customStyle="1" w:styleId="24">
    <w:name w:val="tz_input"/>
    <w:basedOn w:val="7"/>
    <w:qFormat/>
    <w:uiPriority w:val="0"/>
    <w:rPr>
      <w:color w:val="A01211"/>
      <w:sz w:val="24"/>
      <w:szCs w:val="24"/>
    </w:rPr>
  </w:style>
  <w:style w:type="character" w:customStyle="1" w:styleId="25">
    <w:name w:val="bg01"/>
    <w:basedOn w:val="7"/>
    <w:qFormat/>
    <w:uiPriority w:val="0"/>
  </w:style>
  <w:style w:type="character" w:customStyle="1" w:styleId="26">
    <w:name w:val="m01"/>
    <w:basedOn w:val="7"/>
    <w:qFormat/>
    <w:uiPriority w:val="0"/>
  </w:style>
  <w:style w:type="character" w:customStyle="1" w:styleId="27">
    <w:name w:val="m011"/>
    <w:basedOn w:val="7"/>
    <w:qFormat/>
    <w:uiPriority w:val="0"/>
  </w:style>
  <w:style w:type="character" w:customStyle="1" w:styleId="28">
    <w:name w:val="font"/>
    <w:basedOn w:val="7"/>
    <w:qFormat/>
    <w:uiPriority w:val="0"/>
  </w:style>
  <w:style w:type="character" w:customStyle="1" w:styleId="29">
    <w:name w:val="font1"/>
    <w:basedOn w:val="7"/>
    <w:qFormat/>
    <w:uiPriority w:val="0"/>
  </w:style>
  <w:style w:type="character" w:customStyle="1" w:styleId="30">
    <w:name w:val="bg02"/>
    <w:basedOn w:val="7"/>
    <w:qFormat/>
    <w:uiPriority w:val="0"/>
  </w:style>
  <w:style w:type="character" w:customStyle="1" w:styleId="31">
    <w:name w:val="tabg"/>
    <w:basedOn w:val="7"/>
    <w:qFormat/>
    <w:uiPriority w:val="0"/>
    <w:rPr>
      <w:color w:val="FFFFFF"/>
      <w:sz w:val="27"/>
      <w:szCs w:val="27"/>
    </w:rPr>
  </w:style>
  <w:style w:type="character" w:customStyle="1" w:styleId="32">
    <w:name w:val="more4"/>
    <w:basedOn w:val="7"/>
    <w:qFormat/>
    <w:uiPriority w:val="0"/>
    <w:rPr>
      <w:color w:val="666666"/>
      <w:sz w:val="18"/>
      <w:szCs w:val="18"/>
    </w:rPr>
  </w:style>
  <w:style w:type="character" w:customStyle="1" w:styleId="33">
    <w:name w:val="gwds_nopic"/>
    <w:basedOn w:val="7"/>
    <w:qFormat/>
    <w:uiPriority w:val="0"/>
  </w:style>
  <w:style w:type="character" w:customStyle="1" w:styleId="34">
    <w:name w:val="gwds_nopic1"/>
    <w:basedOn w:val="7"/>
    <w:qFormat/>
    <w:uiPriority w:val="0"/>
  </w:style>
  <w:style w:type="character" w:customStyle="1" w:styleId="35">
    <w:name w:val="gwds_nopic2"/>
    <w:basedOn w:val="7"/>
    <w:qFormat/>
    <w:uiPriority w:val="0"/>
  </w:style>
  <w:style w:type="character" w:customStyle="1" w:styleId="36">
    <w:name w:val="bds_more4"/>
    <w:basedOn w:val="7"/>
    <w:qFormat/>
    <w:uiPriority w:val="0"/>
  </w:style>
  <w:style w:type="character" w:customStyle="1" w:styleId="37">
    <w:name w:val="bds_nopic"/>
    <w:basedOn w:val="7"/>
    <w:qFormat/>
    <w:uiPriority w:val="0"/>
  </w:style>
  <w:style w:type="character" w:customStyle="1" w:styleId="38">
    <w:name w:val="bds_nopic1"/>
    <w:basedOn w:val="7"/>
    <w:qFormat/>
    <w:uiPriority w:val="0"/>
  </w:style>
  <w:style w:type="character" w:customStyle="1" w:styleId="39">
    <w:name w:val="bds_nopic2"/>
    <w:basedOn w:val="7"/>
    <w:qFormat/>
    <w:uiPriority w:val="0"/>
  </w:style>
  <w:style w:type="character" w:customStyle="1" w:styleId="40">
    <w:name w:val="bds_more3"/>
    <w:basedOn w:val="7"/>
    <w:qFormat/>
    <w:uiPriority w:val="0"/>
    <w:rPr>
      <w:rFonts w:hint="eastAsia" w:ascii="宋体" w:hAnsi="宋体" w:eastAsia="宋体" w:cs="宋体"/>
    </w:rPr>
  </w:style>
  <w:style w:type="character" w:customStyle="1" w:styleId="41">
    <w:name w:val="bds_more5"/>
    <w:basedOn w:val="7"/>
    <w:qFormat/>
    <w:uiPriority w:val="0"/>
  </w:style>
  <w:style w:type="character" w:customStyle="1" w:styleId="42">
    <w:name w:val="on"/>
    <w:basedOn w:val="7"/>
    <w:qFormat/>
    <w:uiPriority w:val="0"/>
    <w:rPr>
      <w:color w:val="FFFFFF"/>
    </w:rPr>
  </w:style>
  <w:style w:type="character" w:customStyle="1" w:styleId="43">
    <w:name w:val="cur"/>
    <w:basedOn w:val="7"/>
    <w:qFormat/>
    <w:uiPriority w:val="0"/>
    <w:rPr>
      <w:b/>
    </w:rPr>
  </w:style>
  <w:style w:type="character" w:customStyle="1" w:styleId="44">
    <w:name w:val="cur1"/>
    <w:basedOn w:val="7"/>
    <w:qFormat/>
    <w:uiPriority w:val="0"/>
    <w:rPr>
      <w:b/>
    </w:rPr>
  </w:style>
  <w:style w:type="character" w:customStyle="1" w:styleId="45">
    <w:name w:val="cur2"/>
    <w:basedOn w:val="7"/>
    <w:qFormat/>
    <w:uiPriority w:val="0"/>
    <w:rPr>
      <w:shd w:val="clear" w:fill="FF0000"/>
    </w:rPr>
  </w:style>
  <w:style w:type="character" w:customStyle="1" w:styleId="46">
    <w:name w:val="normal"/>
    <w:basedOn w:val="7"/>
    <w:qFormat/>
    <w:uiPriority w:val="0"/>
    <w:rPr>
      <w:color w:val="FFFFFF"/>
    </w:rPr>
  </w:style>
  <w:style w:type="character" w:customStyle="1" w:styleId="47">
    <w:name w:val="normal1"/>
    <w:basedOn w:val="7"/>
    <w:qFormat/>
    <w:uiPriority w:val="0"/>
    <w:rPr>
      <w:color w:val="FFFFFF"/>
    </w:rPr>
  </w:style>
  <w:style w:type="character" w:customStyle="1" w:styleId="48">
    <w:name w:val="normal2"/>
    <w:basedOn w:val="7"/>
    <w:qFormat/>
    <w:uiPriority w:val="0"/>
    <w:rPr>
      <w:color w:val="000000"/>
    </w:rPr>
  </w:style>
  <w:style w:type="character" w:customStyle="1" w:styleId="49">
    <w:name w:val="more"/>
    <w:basedOn w:val="7"/>
    <w:qFormat/>
    <w:uiPriority w:val="0"/>
    <w:rPr>
      <w:color w:val="666666"/>
      <w:sz w:val="18"/>
      <w:szCs w:val="18"/>
    </w:rPr>
  </w:style>
  <w:style w:type="character" w:customStyle="1" w:styleId="50">
    <w:name w:val="tn-zhishi"/>
    <w:basedOn w:val="7"/>
    <w:qFormat/>
    <w:uiPriority w:val="0"/>
    <w:rPr>
      <w:shd w:val="clear" w:fill="8B6124"/>
    </w:rPr>
  </w:style>
  <w:style w:type="character" w:customStyle="1" w:styleId="51">
    <w:name w:val="hover57"/>
    <w:basedOn w:val="7"/>
    <w:qFormat/>
    <w:uiPriority w:val="0"/>
    <w:rPr>
      <w:shd w:val="clear" w:fill="F3F3F3"/>
    </w:rPr>
  </w:style>
  <w:style w:type="character" w:customStyle="1" w:styleId="52">
    <w:name w:val="hover58"/>
    <w:basedOn w:val="7"/>
    <w:qFormat/>
    <w:uiPriority w:val="0"/>
    <w:rPr>
      <w:shd w:val="clear" w:fill="F3F3F3"/>
    </w:rPr>
  </w:style>
  <w:style w:type="character" w:customStyle="1" w:styleId="53">
    <w:name w:val="hover59"/>
    <w:basedOn w:val="7"/>
    <w:qFormat/>
    <w:uiPriority w:val="0"/>
    <w:rPr>
      <w:shd w:val="clear" w:fill="F3F3F3"/>
    </w:rPr>
  </w:style>
  <w:style w:type="character" w:customStyle="1" w:styleId="54">
    <w:name w:val="hover60"/>
    <w:basedOn w:val="7"/>
    <w:qFormat/>
    <w:uiPriority w:val="0"/>
    <w:rPr>
      <w:shd w:val="clear" w:fill="F3F3F3"/>
    </w:rPr>
  </w:style>
  <w:style w:type="character" w:customStyle="1" w:styleId="55">
    <w:name w:val="tn-fuwu"/>
    <w:basedOn w:val="7"/>
    <w:qFormat/>
    <w:uiPriority w:val="0"/>
    <w:rPr>
      <w:shd w:val="clear" w:fill="DA5026"/>
    </w:rPr>
  </w:style>
  <w:style w:type="character" w:customStyle="1" w:styleId="56">
    <w:name w:val="tn-jingpin"/>
    <w:basedOn w:val="7"/>
    <w:qFormat/>
    <w:uiPriority w:val="0"/>
    <w:rPr>
      <w:shd w:val="clear" w:fill="1D79B7"/>
    </w:rPr>
  </w:style>
  <w:style w:type="character" w:customStyle="1" w:styleId="57">
    <w:name w:val="tn-diqu"/>
    <w:basedOn w:val="7"/>
    <w:qFormat/>
    <w:uiPriority w:val="0"/>
    <w:rPr>
      <w:shd w:val="clear" w:fill="669330"/>
    </w:rPr>
  </w:style>
  <w:style w:type="character" w:customStyle="1" w:styleId="58">
    <w:name w:val="bds_more"/>
    <w:basedOn w:val="7"/>
    <w:qFormat/>
    <w:uiPriority w:val="0"/>
    <w:rPr>
      <w:rFonts w:hint="eastAsia" w:ascii="宋体" w:hAnsi="宋体" w:eastAsia="宋体" w:cs="宋体"/>
    </w:rPr>
  </w:style>
  <w:style w:type="character" w:customStyle="1" w:styleId="59">
    <w:name w:val="bds_more1"/>
    <w:basedOn w:val="7"/>
    <w:qFormat/>
    <w:uiPriority w:val="0"/>
  </w:style>
  <w:style w:type="character" w:customStyle="1" w:styleId="60">
    <w:name w:val="bds_more2"/>
    <w:basedOn w:val="7"/>
    <w:qFormat/>
    <w:uiPriority w:val="0"/>
  </w:style>
  <w:style w:type="paragraph" w:customStyle="1" w:styleId="61">
    <w:name w:val="pbj"/>
    <w:basedOn w:val="1"/>
    <w:qFormat/>
    <w:uiPriority w:val="0"/>
    <w:pPr>
      <w:jc w:val="left"/>
    </w:pPr>
    <w:rPr>
      <w:kern w:val="0"/>
      <w:lang w:val="en-US" w:eastAsia="zh-CN" w:bidi="ar"/>
    </w:rPr>
  </w:style>
  <w:style w:type="character" w:customStyle="1" w:styleId="62">
    <w:name w:val="time"/>
    <w:basedOn w:val="7"/>
    <w:qFormat/>
    <w:uiPriority w:val="0"/>
    <w:rPr>
      <w:color w:val="777777"/>
    </w:rPr>
  </w:style>
  <w:style w:type="character" w:customStyle="1" w:styleId="63">
    <w:name w:val="onselect"/>
    <w:basedOn w:val="7"/>
    <w:qFormat/>
    <w:uiPriority w:val="0"/>
    <w:rPr>
      <w:shd w:val="clear" w:fill="FF0000"/>
    </w:rPr>
  </w:style>
  <w:style w:type="character" w:customStyle="1" w:styleId="64">
    <w:name w:val="hover17"/>
    <w:basedOn w:val="7"/>
    <w:qFormat/>
    <w:uiPriority w:val="0"/>
    <w:rPr>
      <w:color w:val="FFFFFF"/>
      <w:shd w:val="clear" w:fill="F9AC00"/>
    </w:rPr>
  </w:style>
  <w:style w:type="character" w:customStyle="1" w:styleId="65">
    <w:name w:val="keyword"/>
    <w:basedOn w:val="7"/>
    <w:qFormat/>
    <w:uiPriority w:val="0"/>
    <w:rPr>
      <w:color w:val="FF0000"/>
    </w:rPr>
  </w:style>
  <w:style w:type="character" w:customStyle="1" w:styleId="66">
    <w:name w:val="more-zereo"/>
    <w:basedOn w:val="7"/>
    <w:qFormat/>
    <w:uiPriority w:val="0"/>
    <w:rPr>
      <w:color w:val="EB0F0A"/>
    </w:rPr>
  </w:style>
  <w:style w:type="character" w:customStyle="1" w:styleId="67">
    <w:name w:val="hover14"/>
    <w:basedOn w:val="7"/>
    <w:qFormat/>
    <w:uiPriority w:val="0"/>
    <w:rPr>
      <w:color w:val="FFFFFF"/>
      <w:shd w:val="clear" w:fill="F9AC00"/>
    </w:rPr>
  </w:style>
  <w:style w:type="paragraph" w:customStyle="1" w:styleId="68">
    <w:name w:val="_Style 67"/>
    <w:basedOn w:val="1"/>
    <w:next w:val="1"/>
    <w:uiPriority w:val="0"/>
    <w:pPr>
      <w:pBdr>
        <w:bottom w:val="single" w:color="auto" w:sz="6" w:space="1"/>
      </w:pBdr>
      <w:jc w:val="center"/>
    </w:pPr>
    <w:rPr>
      <w:rFonts w:ascii="Arial" w:eastAsia="宋体"/>
      <w:vanish/>
      <w:sz w:val="16"/>
    </w:rPr>
  </w:style>
  <w:style w:type="paragraph" w:customStyle="1" w:styleId="69">
    <w:name w:val="_Style 68"/>
    <w:basedOn w:val="1"/>
    <w:next w:val="1"/>
    <w:uiPriority w:val="0"/>
    <w:pPr>
      <w:pBdr>
        <w:top w:val="single" w:color="auto" w:sz="6" w:space="1"/>
      </w:pBdr>
      <w:jc w:val="center"/>
    </w:pPr>
    <w:rPr>
      <w:rFonts w:ascii="Arial" w:eastAsia="宋体"/>
      <w:vanish/>
      <w:sz w:val="16"/>
    </w:rPr>
  </w:style>
  <w:style w:type="character" w:customStyle="1" w:styleId="70">
    <w:name w:val="name27"/>
    <w:basedOn w:val="7"/>
    <w:uiPriority w:val="0"/>
    <w:rPr>
      <w:rFonts w:ascii="微软雅黑" w:hAnsi="微软雅黑" w:eastAsia="微软雅黑" w:cs="微软雅黑"/>
      <w:color w:val="F96300"/>
      <w:sz w:val="27"/>
      <w:szCs w:val="27"/>
    </w:rPr>
  </w:style>
  <w:style w:type="character" w:customStyle="1" w:styleId="71">
    <w:name w:val="info31"/>
    <w:basedOn w:val="7"/>
    <w:uiPriority w:val="0"/>
    <w:rPr>
      <w:rFonts w:hint="eastAsia" w:ascii="宋体" w:hAnsi="宋体" w:eastAsia="宋体" w:cs="宋体"/>
      <w:color w:val="004B80"/>
      <w:sz w:val="21"/>
      <w:szCs w:val="21"/>
      <w:bdr w:val="none" w:color="auto" w:sz="0" w:space="0"/>
    </w:rPr>
  </w:style>
  <w:style w:type="character" w:customStyle="1" w:styleId="72">
    <w:name w:val="lan"/>
    <w:basedOn w:val="7"/>
    <w:uiPriority w:val="0"/>
    <w:rPr>
      <w:strike/>
    </w:rPr>
  </w:style>
  <w:style w:type="character" w:customStyle="1" w:styleId="73">
    <w:name w:val="first-child"/>
    <w:basedOn w:val="7"/>
    <w:uiPriority w:val="0"/>
    <w:rPr>
      <w:bdr w:val="none" w:color="auto" w:sz="0" w:space="0"/>
    </w:rPr>
  </w:style>
  <w:style w:type="character" w:customStyle="1" w:styleId="74">
    <w:name w:val="first-child1"/>
    <w:basedOn w:val="7"/>
    <w:uiPriority w:val="0"/>
    <w:rPr>
      <w:bdr w:val="single" w:color="E4E3E3" w:sz="6" w:space="0"/>
    </w:rPr>
  </w:style>
  <w:style w:type="character" w:customStyle="1" w:styleId="75">
    <w:name w:val="first-child2"/>
    <w:basedOn w:val="7"/>
    <w:uiPriority w:val="0"/>
    <w:rPr>
      <w:b/>
      <w:color w:val="DE5833"/>
      <w:sz w:val="21"/>
      <w:szCs w:val="21"/>
    </w:rPr>
  </w:style>
  <w:style w:type="character" w:customStyle="1" w:styleId="76">
    <w:name w:val="first-child3"/>
    <w:basedOn w:val="7"/>
    <w:uiPriority w:val="0"/>
    <w:rPr>
      <w:bdr w:val="none" w:color="auto" w:sz="0" w:space="0"/>
    </w:rPr>
  </w:style>
  <w:style w:type="character" w:customStyle="1" w:styleId="77">
    <w:name w:val="first-child4"/>
    <w:basedOn w:val="7"/>
    <w:uiPriority w:val="0"/>
  </w:style>
  <w:style w:type="character" w:customStyle="1" w:styleId="78">
    <w:name w:val="first-child5"/>
    <w:basedOn w:val="7"/>
    <w:uiPriority w:val="0"/>
    <w:rPr>
      <w:bdr w:val="single" w:color="E4E3E3" w:sz="6" w:space="0"/>
    </w:rPr>
  </w:style>
  <w:style w:type="character" w:customStyle="1" w:styleId="79">
    <w:name w:val="first-child6"/>
    <w:basedOn w:val="7"/>
    <w:uiPriority w:val="0"/>
    <w:rPr>
      <w:bdr w:val="none" w:color="auto" w:sz="0" w:space="0"/>
    </w:rPr>
  </w:style>
  <w:style w:type="character" w:customStyle="1" w:styleId="80">
    <w:name w:val="first-child7"/>
    <w:basedOn w:val="7"/>
    <w:uiPriority w:val="0"/>
    <w:rPr>
      <w:bdr w:val="single" w:color="E4E3E3" w:sz="6" w:space="0"/>
    </w:rPr>
  </w:style>
  <w:style w:type="character" w:customStyle="1" w:styleId="81">
    <w:name w:val="first-child8"/>
    <w:basedOn w:val="7"/>
    <w:uiPriority w:val="0"/>
    <w:rPr>
      <w:bdr w:val="none" w:color="auto" w:sz="0" w:space="0"/>
    </w:rPr>
  </w:style>
  <w:style w:type="character" w:customStyle="1" w:styleId="82">
    <w:name w:val="first-child9"/>
    <w:basedOn w:val="7"/>
    <w:uiPriority w:val="0"/>
  </w:style>
  <w:style w:type="character" w:customStyle="1" w:styleId="83">
    <w:name w:val="active28"/>
    <w:basedOn w:val="7"/>
    <w:uiPriority w:val="0"/>
    <w:rPr>
      <w:color w:val="FF6000"/>
    </w:rPr>
  </w:style>
  <w:style w:type="character" w:customStyle="1" w:styleId="84">
    <w:name w:val="active29"/>
    <w:basedOn w:val="7"/>
    <w:uiPriority w:val="0"/>
    <w:rPr>
      <w:color w:val="FFFFFF"/>
      <w:shd w:val="clear" w:fill="006BB6"/>
    </w:rPr>
  </w:style>
  <w:style w:type="character" w:customStyle="1" w:styleId="85">
    <w:name w:val="active30"/>
    <w:basedOn w:val="7"/>
    <w:uiPriority w:val="0"/>
    <w:rPr>
      <w:bdr w:val="single" w:color="EB5800" w:sz="6" w:space="0"/>
    </w:rPr>
  </w:style>
  <w:style w:type="character" w:customStyle="1" w:styleId="86">
    <w:name w:val="active31"/>
    <w:basedOn w:val="7"/>
    <w:uiPriority w:val="0"/>
    <w:rPr>
      <w:color w:val="006BB6"/>
    </w:rPr>
  </w:style>
  <w:style w:type="character" w:customStyle="1" w:styleId="87">
    <w:name w:val="active32"/>
    <w:basedOn w:val="7"/>
    <w:uiPriority w:val="0"/>
    <w:rPr>
      <w:bdr w:val="single" w:color="B6D3F1" w:sz="6" w:space="0"/>
      <w:shd w:val="clear" w:fill="FFFFFF"/>
    </w:rPr>
  </w:style>
  <w:style w:type="character" w:customStyle="1" w:styleId="88">
    <w:name w:val="active33"/>
    <w:basedOn w:val="7"/>
    <w:uiPriority w:val="0"/>
    <w:rPr>
      <w:color w:val="EB5800"/>
    </w:rPr>
  </w:style>
  <w:style w:type="character" w:customStyle="1" w:styleId="89">
    <w:name w:val="active34"/>
    <w:basedOn w:val="7"/>
    <w:uiPriority w:val="0"/>
  </w:style>
  <w:style w:type="character" w:customStyle="1" w:styleId="90">
    <w:name w:val="active35"/>
    <w:basedOn w:val="7"/>
    <w:uiPriority w:val="0"/>
    <w:rPr>
      <w:shd w:val="clear" w:fill="FFFFFF"/>
    </w:rPr>
  </w:style>
  <w:style w:type="character" w:customStyle="1" w:styleId="91">
    <w:name w:val="active36"/>
    <w:basedOn w:val="7"/>
    <w:uiPriority w:val="0"/>
    <w:rPr>
      <w:color w:val="FFFFFF"/>
      <w:shd w:val="clear" w:fill="FF6000"/>
    </w:rPr>
  </w:style>
  <w:style w:type="character" w:customStyle="1" w:styleId="92">
    <w:name w:val="active37"/>
    <w:basedOn w:val="7"/>
    <w:uiPriority w:val="0"/>
    <w:rPr>
      <w:color w:val="FF0000"/>
    </w:rPr>
  </w:style>
  <w:style w:type="character" w:customStyle="1" w:styleId="93">
    <w:name w:val="last-child"/>
    <w:basedOn w:val="7"/>
    <w:uiPriority w:val="0"/>
  </w:style>
  <w:style w:type="character" w:customStyle="1" w:styleId="94">
    <w:name w:val="hover72"/>
    <w:basedOn w:val="7"/>
    <w:uiPriority w:val="0"/>
    <w:rPr>
      <w:color w:val="006BB6"/>
    </w:rPr>
  </w:style>
  <w:style w:type="character" w:customStyle="1" w:styleId="95">
    <w:name w:val="hover73"/>
    <w:basedOn w:val="7"/>
    <w:uiPriority w:val="0"/>
    <w:rPr>
      <w:color w:val="EB0100"/>
    </w:rPr>
  </w:style>
  <w:style w:type="character" w:customStyle="1" w:styleId="96">
    <w:name w:val="hover74"/>
    <w:basedOn w:val="7"/>
    <w:uiPriority w:val="0"/>
    <w:rPr>
      <w:color w:val="484848"/>
      <w:shd w:val="clear" w:fill="EEFAFF"/>
    </w:rPr>
  </w:style>
  <w:style w:type="character" w:customStyle="1" w:styleId="97">
    <w:name w:val="hover75"/>
    <w:basedOn w:val="7"/>
    <w:uiPriority w:val="0"/>
    <w:rPr>
      <w:color w:val="FFFFFF"/>
      <w:shd w:val="clear" w:fill="016BB9"/>
    </w:rPr>
  </w:style>
  <w:style w:type="character" w:customStyle="1" w:styleId="98">
    <w:name w:val="hover76"/>
    <w:basedOn w:val="7"/>
    <w:uiPriority w:val="0"/>
    <w:rPr>
      <w:color w:val="006BB6"/>
    </w:rPr>
  </w:style>
  <w:style w:type="character" w:customStyle="1" w:styleId="99">
    <w:name w:val="hover77"/>
    <w:basedOn w:val="7"/>
    <w:uiPriority w:val="0"/>
    <w:rPr>
      <w:color w:val="333333"/>
      <w:shd w:val="clear" w:fill="FFFFFF"/>
    </w:rPr>
  </w:style>
  <w:style w:type="character" w:customStyle="1" w:styleId="100">
    <w:name w:val="hover78"/>
    <w:basedOn w:val="7"/>
    <w:uiPriority w:val="0"/>
    <w:rPr>
      <w:color w:val="FFFFFF"/>
      <w:shd w:val="clear" w:fill="016BB9"/>
    </w:rPr>
  </w:style>
  <w:style w:type="character" w:customStyle="1" w:styleId="101">
    <w:name w:val="hover79"/>
    <w:basedOn w:val="7"/>
    <w:uiPriority w:val="0"/>
    <w:rPr>
      <w:shd w:val="clear" w:fill="FF6600"/>
    </w:rPr>
  </w:style>
  <w:style w:type="character" w:customStyle="1" w:styleId="102">
    <w:name w:val="modify_click"/>
    <w:basedOn w:val="7"/>
    <w:uiPriority w:val="0"/>
    <w:rPr>
      <w:color w:val="FFFFFF"/>
      <w:bdr w:val="none" w:color="auto" w:sz="0" w:space="0"/>
      <w:shd w:val="clear" w:fill="F07700"/>
    </w:rPr>
  </w:style>
  <w:style w:type="character" w:customStyle="1" w:styleId="103">
    <w:name w:val="tool_index_crumbs_span"/>
    <w:basedOn w:val="7"/>
    <w:uiPriority w:val="0"/>
    <w:rPr>
      <w:color w:val="FF6000"/>
    </w:rPr>
  </w:style>
  <w:style w:type="character" w:customStyle="1" w:styleId="104">
    <w:name w:val="colorr"/>
    <w:basedOn w:val="7"/>
    <w:uiPriority w:val="0"/>
    <w:rPr>
      <w:b/>
      <w:color w:val="FF5A00"/>
      <w:sz w:val="21"/>
      <w:szCs w:val="21"/>
    </w:rPr>
  </w:style>
  <w:style w:type="character" w:customStyle="1" w:styleId="105">
    <w:name w:val="fr62"/>
    <w:basedOn w:val="7"/>
    <w:uiPriority w:val="0"/>
    <w:rPr>
      <w:bdr w:val="none" w:color="auto" w:sz="0" w:space="0"/>
      <w:shd w:val="clear" w:fill="FFFFFF"/>
    </w:rPr>
  </w:style>
  <w:style w:type="character" w:customStyle="1" w:styleId="106">
    <w:name w:val="more6"/>
    <w:basedOn w:val="7"/>
    <w:uiPriority w:val="0"/>
  </w:style>
  <w:style w:type="character" w:customStyle="1" w:styleId="107">
    <w:name w:val="split"/>
    <w:basedOn w:val="7"/>
    <w:uiPriority w:val="0"/>
    <w:rPr>
      <w:bdr w:val="none" w:color="auto" w:sz="0" w:space="0"/>
    </w:rPr>
  </w:style>
  <w:style w:type="character" w:customStyle="1" w:styleId="108">
    <w:name w:val="count7"/>
    <w:basedOn w:val="7"/>
    <w:uiPriority w:val="0"/>
    <w:rPr>
      <w:color w:val="DB550C"/>
      <w:sz w:val="18"/>
      <w:szCs w:val="18"/>
      <w:bdr w:val="none" w:color="auto" w:sz="0" w:space="0"/>
    </w:rPr>
  </w:style>
  <w:style w:type="character" w:customStyle="1" w:styleId="109">
    <w:name w:val="count8"/>
    <w:basedOn w:val="7"/>
    <w:uiPriority w:val="0"/>
    <w:rPr>
      <w:color w:val="FF6600"/>
    </w:rPr>
  </w:style>
  <w:style w:type="character" w:customStyle="1" w:styleId="110">
    <w:name w:val="gj"/>
    <w:basedOn w:val="7"/>
    <w:uiPriority w:val="0"/>
    <w:rPr>
      <w:color w:val="FFF600"/>
      <w:bdr w:val="none" w:color="auto" w:sz="0" w:space="0"/>
    </w:rPr>
  </w:style>
  <w:style w:type="character" w:customStyle="1" w:styleId="111">
    <w:name w:val="info14"/>
    <w:basedOn w:val="7"/>
    <w:uiPriority w:val="0"/>
    <w:rPr>
      <w:color w:val="188EA7"/>
    </w:rPr>
  </w:style>
  <w:style w:type="character" w:customStyle="1" w:styleId="112">
    <w:name w:val="thistab10"/>
    <w:basedOn w:val="7"/>
    <w:uiPriority w:val="0"/>
  </w:style>
  <w:style w:type="character" w:customStyle="1" w:styleId="113">
    <w:name w:val="modify"/>
    <w:basedOn w:val="7"/>
    <w:uiPriority w:val="0"/>
    <w:rPr>
      <w:rFonts w:hint="eastAsia" w:ascii="宋体" w:hAnsi="宋体" w:eastAsia="宋体" w:cs="宋体"/>
      <w:color w:val="006BB6"/>
      <w:sz w:val="21"/>
      <w:szCs w:val="21"/>
      <w:bdr w:val="none" w:color="auto" w:sz="0" w:space="0"/>
    </w:rPr>
  </w:style>
  <w:style w:type="character" w:customStyle="1" w:styleId="114">
    <w:name w:val="add"/>
    <w:basedOn w:val="7"/>
    <w:uiPriority w:val="0"/>
    <w:rPr>
      <w:rFonts w:hint="eastAsia" w:ascii="宋体" w:hAnsi="宋体" w:eastAsia="宋体" w:cs="宋体"/>
      <w:color w:val="006BB6"/>
      <w:sz w:val="21"/>
      <w:szCs w:val="21"/>
      <w:bdr w:val="none" w:color="auto" w:sz="0" w:space="0"/>
    </w:rPr>
  </w:style>
  <w:style w:type="character" w:customStyle="1" w:styleId="115">
    <w:name w:val="info15"/>
    <w:basedOn w:val="7"/>
    <w:uiPriority w:val="0"/>
    <w:rPr>
      <w:rFonts w:hint="eastAsia" w:ascii="宋体" w:hAnsi="宋体" w:eastAsia="宋体" w:cs="宋体"/>
      <w:color w:val="006BB6"/>
      <w:sz w:val="21"/>
      <w:szCs w:val="21"/>
      <w:bdr w:val="none" w:color="auto" w:sz="0" w:space="0"/>
    </w:rPr>
  </w:style>
  <w:style w:type="character" w:customStyle="1" w:styleId="116">
    <w:name w:val="info25"/>
    <w:basedOn w:val="7"/>
    <w:uiPriority w:val="0"/>
    <w:rPr>
      <w:rFonts w:hint="eastAsia" w:ascii="宋体" w:hAnsi="宋体" w:eastAsia="宋体" w:cs="宋体"/>
      <w:color w:val="006BB6"/>
      <w:sz w:val="21"/>
      <w:szCs w:val="21"/>
      <w:bdr w:val="none" w:color="auto" w:sz="0" w:space="0"/>
    </w:rPr>
  </w:style>
  <w:style w:type="character" w:customStyle="1" w:styleId="117">
    <w:name w:val="time20"/>
    <w:basedOn w:val="7"/>
    <w:uiPriority w:val="0"/>
    <w:rPr>
      <w:rFonts w:hint="eastAsia" w:ascii="宋体" w:hAnsi="宋体" w:eastAsia="宋体" w:cs="宋体"/>
      <w:color w:val="2A2A2A"/>
      <w:sz w:val="18"/>
      <w:szCs w:val="18"/>
    </w:rPr>
  </w:style>
  <w:style w:type="character" w:customStyle="1" w:styleId="118">
    <w:name w:val="active20"/>
    <w:basedOn w:val="7"/>
    <w:uiPriority w:val="0"/>
    <w:rPr>
      <w:color w:val="006BB6"/>
    </w:rPr>
  </w:style>
  <w:style w:type="character" w:customStyle="1" w:styleId="119">
    <w:name w:val="active21"/>
    <w:basedOn w:val="7"/>
    <w:uiPriority w:val="0"/>
    <w:rPr>
      <w:color w:val="FF6000"/>
    </w:rPr>
  </w:style>
  <w:style w:type="character" w:customStyle="1" w:styleId="120">
    <w:name w:val="active22"/>
    <w:basedOn w:val="7"/>
    <w:uiPriority w:val="0"/>
    <w:rPr>
      <w:color w:val="FFFFFF"/>
      <w:shd w:val="clear" w:fill="006BB6"/>
    </w:rPr>
  </w:style>
  <w:style w:type="character" w:customStyle="1" w:styleId="121">
    <w:name w:val="active23"/>
    <w:basedOn w:val="7"/>
    <w:uiPriority w:val="0"/>
    <w:rPr>
      <w:bdr w:val="single" w:color="EB5800" w:sz="6" w:space="0"/>
    </w:rPr>
  </w:style>
  <w:style w:type="character" w:customStyle="1" w:styleId="122">
    <w:name w:val="active24"/>
    <w:basedOn w:val="7"/>
    <w:uiPriority w:val="0"/>
    <w:rPr>
      <w:color w:val="EB5800"/>
    </w:rPr>
  </w:style>
  <w:style w:type="character" w:customStyle="1" w:styleId="123">
    <w:name w:val="active25"/>
    <w:basedOn w:val="7"/>
    <w:uiPriority w:val="0"/>
    <w:rPr>
      <w:bdr w:val="single" w:color="B6D3F1" w:sz="6" w:space="0"/>
      <w:shd w:val="clear" w:fill="FFFFFF"/>
    </w:rPr>
  </w:style>
  <w:style w:type="character" w:customStyle="1" w:styleId="124">
    <w:name w:val="active26"/>
    <w:basedOn w:val="7"/>
    <w:uiPriority w:val="0"/>
  </w:style>
  <w:style w:type="character" w:customStyle="1" w:styleId="125">
    <w:name w:val="active27"/>
    <w:basedOn w:val="7"/>
    <w:uiPriority w:val="0"/>
    <w:rPr>
      <w:shd w:val="clear" w:fill="FFFFFF"/>
    </w:rPr>
  </w:style>
  <w:style w:type="character" w:customStyle="1" w:styleId="126">
    <w:name w:val="hover80"/>
    <w:basedOn w:val="7"/>
    <w:uiPriority w:val="0"/>
    <w:rPr>
      <w:color w:val="FFFFFF"/>
      <w:shd w:val="clear" w:fill="016BB9"/>
    </w:rPr>
  </w:style>
  <w:style w:type="character" w:customStyle="1" w:styleId="127">
    <w:name w:val="count10"/>
    <w:basedOn w:val="7"/>
    <w:uiPriority w:val="0"/>
    <w:rPr>
      <w:color w:val="FF6600"/>
    </w:rPr>
  </w:style>
  <w:style w:type="character" w:customStyle="1" w:styleId="128">
    <w:name w:val="count11"/>
    <w:basedOn w:val="7"/>
    <w:uiPriority w:val="0"/>
    <w:rPr>
      <w:color w:val="DB550C"/>
      <w:sz w:val="18"/>
      <w:szCs w:val="18"/>
      <w:bdr w:val="none" w:color="auto" w:sz="0" w:space="0"/>
    </w:rPr>
  </w:style>
  <w:style w:type="character" w:customStyle="1" w:styleId="129">
    <w:name w:val="name30"/>
    <w:basedOn w:val="7"/>
    <w:uiPriority w:val="0"/>
    <w:rPr>
      <w:rFonts w:ascii="微软雅黑" w:hAnsi="微软雅黑" w:eastAsia="微软雅黑" w:cs="微软雅黑"/>
      <w:color w:val="F96300"/>
      <w:sz w:val="27"/>
      <w:szCs w:val="27"/>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Office_10.1.0.5850_F1E327BC-269C-435d-A152-05C5408002CA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2016-08-09T01:49:47Z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2052-10.1.0.5850</vt:lpwstr>
  </property>
</Properties>
</file>