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59" w:rsidRDefault="001C0559" w:rsidP="001C0559">
      <w:pPr>
        <w:widowControl/>
        <w:shd w:val="clear" w:color="auto" w:fill="FFFFFF"/>
        <w:spacing w:line="525" w:lineRule="atLeast"/>
        <w:jc w:val="center"/>
        <w:outlineLvl w:val="1"/>
        <w:rPr>
          <w:rFonts w:asciiTheme="minorEastAsia" w:hAnsiTheme="minorEastAsia" w:cs="宋体"/>
          <w:b/>
          <w:bCs/>
          <w:color w:val="000080"/>
          <w:kern w:val="0"/>
          <w:szCs w:val="21"/>
        </w:rPr>
      </w:pPr>
      <w:bookmarkStart w:id="0" w:name="_GoBack"/>
      <w:r w:rsidRPr="001C0559">
        <w:rPr>
          <w:rFonts w:asciiTheme="minorEastAsia" w:hAnsiTheme="minorEastAsia" w:cs="宋体" w:hint="eastAsia"/>
          <w:b/>
          <w:bCs/>
          <w:color w:val="000080"/>
          <w:kern w:val="0"/>
          <w:szCs w:val="21"/>
        </w:rPr>
        <w:t>国务院办公厅关于进一步做好民间投资有关工作的通知</w:t>
      </w:r>
    </w:p>
    <w:p w:rsidR="001C0559" w:rsidRPr="001C0559" w:rsidRDefault="001C0559" w:rsidP="001C0559">
      <w:pPr>
        <w:widowControl/>
        <w:shd w:val="clear" w:color="auto" w:fill="FFFFFF"/>
        <w:spacing w:line="525" w:lineRule="atLeast"/>
        <w:jc w:val="center"/>
        <w:outlineLvl w:val="1"/>
        <w:rPr>
          <w:rFonts w:asciiTheme="minorEastAsia" w:hAnsiTheme="minorEastAsia" w:cs="宋体" w:hint="eastAsia"/>
          <w:b/>
          <w:bCs/>
          <w:color w:val="000080"/>
          <w:kern w:val="0"/>
          <w:szCs w:val="21"/>
        </w:rPr>
      </w:pPr>
      <w:r w:rsidRPr="001C0559">
        <w:rPr>
          <w:rFonts w:asciiTheme="minorEastAsia" w:hAnsiTheme="minorEastAsia" w:cs="宋体" w:hint="eastAsia"/>
          <w:b/>
          <w:color w:val="3F3F3F"/>
          <w:kern w:val="0"/>
          <w:szCs w:val="21"/>
        </w:rPr>
        <w:t>国办发明电〔2016〕12号</w:t>
      </w:r>
      <w:bookmarkEnd w:id="0"/>
    </w:p>
    <w:p w:rsidR="001C0559" w:rsidRPr="001C0559" w:rsidRDefault="001C0559" w:rsidP="001C0559">
      <w:pPr>
        <w:widowControl/>
        <w:shd w:val="clear" w:color="auto" w:fill="FFFFFF"/>
        <w:spacing w:before="150" w:after="75" w:line="480" w:lineRule="atLeast"/>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各省、自治区、直辖市人民政府，国务院各部委、各直属机构：</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党中央、国务院高度重视促进非公有制经济和民间投资健康发展。习近平总书记强调，公有制经济和非公有制经济都是社会主义市场经济的重要组成部分，都是我国经济社会发展的重要基础。毫不动摇鼓励、支持、引导非公有制经济发展，保证各种所有制经济依法平等使用生产要素、公平参与市场竞争、同等受到法律保护。李克强总理指出，要尊重和维护企业市场主体地位，不断深化改革，推动政策落地见效，稳定市场预期，进一步调动民间投资积极性，激发民间投资潜力和创新活力。针对近期民间投资增速有所回落，为促进民间投资健康发展，国务院部署开展了促进民间投资政策落实专项督查和第三方评估调研。6月22日，国务院常务会议听取了专项督查和第三方评估调研情况汇报，对做好民间投资有关工作提出进一步要求。为深入贯彻落实党中央、国务院领导同志重要指示精神和国务院常务会议部署，经国务院同意，现就有关事项通知如下：</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一、充分认识促进民间投资健康发展的重要意义</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近几年来，非公经济实力不断增强，已成为稳定我国经济的重要基础。非公经济创造了60%左右的国内生产总值、80%左右的社会就业，民间投资已占到全社会固定资产投资的60%以上。促进民间投资健康发展，既利当前又惠长远，对稳增长、保就业具有重要意义，也是推进结构性改革特别是供给侧结构性改革的重要内容。</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区、市）人民政府、各有关部门要全面贯彻党的十八大和十八届二中、三中、四中、五中全会精神，牢固树立新发展理念，认真落实中央经济工作会议和《政府工作报告》部署，按照国务院常务会议要求，推动《国务院关于创新重点领域投融资机制鼓励社会投资的指导意见》（国发〔2014〕60号）、《国务院关于鼓励和引导民间投资健康发展的若干意见》（国发〔2010〕13号）、《国务院关于鼓励支持和引导个体私营等非公有制经济发展的若干意见》（国发〔2005〕3号）各项政策落实，促进民间投资回稳向好，更好发挥民间投资主力军作用。</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二、认真抓好督查和评估调研发现问题的整改落实</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lastRenderedPageBreak/>
        <w:t>促进民间投资政策落实专项督查和第三方评估调研发现，在部分地区、部分领域，存在着政策措施不落地、政府职能转变不到位、民营企业融资难融资贵、难以享受同等“国民待遇”、企业成本高负担重等突出问题。各省（区、市）人民政府、各有关部门要“对号入座”，逐项检查，及时整改，举一反三研究完善相关配套政策和实施细则，切实加强和改进本地区、本部门、本系统促进民间投资各项工作，确保取得实效，并于8月15日前将阶段性整改结果和下一步整改工作重点报送国务院办公厅，抄送国家发展改革委。</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国家发展改革委要会同有关部门成立督导组，从7月中旬开始，对民间投资体量大、同比增速下降较快和近期民间投资增速滞后的省（区、市），组织开展重点督导。</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三、继续深化简政放权、放管结合、优化服务改革</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本届政府成立以来，以简政放权为“先手棋”，不断推动政府职能转变，激发了企业活力。但一些民营企业反映，部分地区仍然存在重审批、轻监管、少服务等问题，相关行政审批链条未见明显缩短、审批效率没有明显提高，“双随机、一公开”未全面推开，重复检查较多，政府服务缺位。各省（区、市）人民政府、各有关部门要进一步清理行政审批事项，及时破除各种关卡，该取消的行政审批事项要坚决取消，该给市场的权力要尽快放给市场。全面推行“双随机、一公开”监管模式。加快构建权责明确、透明高效的事中事后监管体系。聚焦薄弱环节，全面提升政府服务能力和水平。</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今年下半年，国务院审改办要会同有关部门，对“放管服”改革落实情况进行专项检查。</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四、努力营造一视同仁的公平竞争市场环境</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国务院关于促进非公有制经济和民间投资健康发展的相关文件，已明确对各类市场主体实施公平准入等原则和一系列政策措施。但民营企业普遍反映，在市场准入条件、资源要素配置、政府管理服务等方面，仍难以享受与国有企业同等的“国民待遇”。各省（区、市）人民政府、各有关部门要对照国家政策要求，坚持一视同仁，抓紧建立市场准</w:t>
      </w:r>
      <w:r w:rsidRPr="001C0559">
        <w:rPr>
          <w:rFonts w:asciiTheme="minorEastAsia" w:hAnsiTheme="minorEastAsia" w:cs="宋体" w:hint="eastAsia"/>
          <w:color w:val="3F3F3F"/>
          <w:kern w:val="0"/>
          <w:szCs w:val="21"/>
        </w:rPr>
        <w:lastRenderedPageBreak/>
        <w:t>入负面清单制度，进一步放开民用机场、基础电信运营、油气勘探开发等领域准入，在基础设施和公用事业等重点领域去除各类显性或隐性门槛，在医疗、养老、教育等民生领域出台有效举措，促进公平竞争。</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区、市）人民政府要针对自行出台的政策，开展全面自查，坚决取消对民间资本单独设置的附加条件和歧视性条款，加快健全公平开放透明的市场规则，切实营造权利平等、机会平等、规则平等的投资环境。有关自查情况于8月15日前一并报送国务院办公厅，抄送国家发展改革委。</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五、着力缓解融资难融资贵问题</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近年来国务院连续出台一系列措施缓解中小微企业融资难融资贵问题，取得了积极成效。但融资难融资贵依然是民营企业反映强烈的突出问题之一，民营企业申请贷款中间环节多、收费高、难度大，一些银行惜贷、压贷、抽贷、断贷行为时有发生。银监会要抓紧会同有关部门开展专项检查，督促银行业金融机构严格落实支持实体经济发展的各项政策措施。要切实做到“三个不低于”，即对小微企业贷款增速不低于各项贷款平均增速、小微企业贷款户数不低于上年同期户数、小微企业申贷获得率不低于上年同期水平；要坚决查处银行涉企乱收费；要引导金融机构运用大数据等新技术，创新适合中小微企业的融资模式，推动大型商业银行扩大服务中小微企业业务。各省（区、市）人民政府要主动作为，积极推动改进金融服务，拓宽民营企业融资渠道，降低融资成本，推进政府主导的省级再担保机构基本实现全覆盖。</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全国工商联、新华社等要加强对民营企业融资状况调研评估，及时反映企业诉求。</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六、切实降低企业成本负担</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国务院要求有关方面开展正税清费，实施“营改增”改革试点等工作，目的是降低企业负担，规范税费制度。但民营企业反映，目前一些措施还不够落实，未能充分享受国家出台的优惠政策，有的地方各种评估收费多，甚至仍然存在乱收费、乱摊派情况。各省（区、市）人民政府、各有关部门要加大工作力度，进一步抓好固定资产加速折旧、小微企业所得税优惠、阶段性降低“五险一金”费率等政策落实。要抓紧对涉企收费情况进行</w:t>
      </w:r>
      <w:r w:rsidRPr="001C0559">
        <w:rPr>
          <w:rFonts w:asciiTheme="minorEastAsia" w:hAnsiTheme="minorEastAsia" w:cs="宋体" w:hint="eastAsia"/>
          <w:color w:val="3F3F3F"/>
          <w:kern w:val="0"/>
          <w:szCs w:val="21"/>
        </w:rPr>
        <w:lastRenderedPageBreak/>
        <w:t>全面自查、集中清理，坚决砍掉不合理收费和中介服务环节。</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财政部要会同国家发展改革委等有关部门，抓紧开展涉企收费清理情况专项检查，推动降低企业成本，切实减轻企业负担。审计署要将涉企收费审计作为政策落实跟踪审计的重点内容进行跟踪。</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财政部要会同有关部门抓紧部署清理政府对企业各种欠款的专项工作。各省（区、市）人民政府、各有关部门要在规定时间内依法依规解决拖欠各类企业的工程款、物资采购款以及应返未返保证金等问题。</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七、强化落实地方政府和部门的主体责任</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区、市）人民政府、各有关部门要切实履行主体责任，把调动民间投资积极性、促进民间投资健康发展摆上重要议事日程，主要负责同志要负总责、亲自协调，分管负责同志要具体抓督促落实，有效解决民营企业反映的突出问题。</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区、市）人民政府、各有关部门要针对政府违约和政策不落实等问题，建立问责机制，提高政府公信力。要按照建立“亲”“清”政商关系要求，完善政企沟通机制，充分听取民营企业意见建议，主动改进工作。凡对企业实事求是反映问题进行打击报复的，要依法依规处理，从严追究直接责任人和有关领导人员责任。</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八、加大政策解读和舆论宣传力度</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区、市）人民政府、各有关部门要健全完善政策发布和政策解读的信息公开机制，及时回应社会关切，进一步营造民间投资良好舆论环境。要加大政府信息数据开放力度，畅通为民营企业提供信息服务的有效渠道。要重视总结推广政府管理服务中的好做法、好经验，曝光不作为、乱作为案例。要主动唱响中国经济光明论，释放积极信号，提振发展信心，稳定和改善市场预期。</w:t>
      </w:r>
      <w:r w:rsidRPr="001C0559">
        <w:rPr>
          <w:rFonts w:asciiTheme="minorEastAsia" w:hAnsiTheme="minorEastAsia" w:cs="宋体" w:hint="eastAsia"/>
          <w:color w:val="3F3F3F"/>
          <w:kern w:val="0"/>
          <w:szCs w:val="21"/>
        </w:rPr>
        <w:br/>
        <w:t xml:space="preserve">　　</w:t>
      </w:r>
    </w:p>
    <w:p w:rsidR="001C0559" w:rsidRPr="001C0559" w:rsidRDefault="001C0559" w:rsidP="001C0559">
      <w:pPr>
        <w:widowControl/>
        <w:shd w:val="clear" w:color="auto" w:fill="FFFFFF"/>
        <w:spacing w:before="150" w:after="75" w:line="480" w:lineRule="atLeast"/>
        <w:ind w:firstLine="480"/>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各省（区、市）人民政府、各有关部门要按照本通知精神，进一步做好民间投资有关工作，重要情况及时报告国务院。</w:t>
      </w:r>
    </w:p>
    <w:p w:rsidR="001C0559" w:rsidRPr="001C0559" w:rsidRDefault="001C0559" w:rsidP="001C0559">
      <w:pPr>
        <w:widowControl/>
        <w:shd w:val="clear" w:color="auto" w:fill="FFFFFF"/>
        <w:spacing w:before="150" w:after="75" w:line="480" w:lineRule="atLeast"/>
        <w:ind w:firstLine="480"/>
        <w:jc w:val="righ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lastRenderedPageBreak/>
        <w:t>                                             国务院办公厅    </w:t>
      </w:r>
    </w:p>
    <w:p w:rsidR="001C0559" w:rsidRPr="001C0559" w:rsidRDefault="001C0559" w:rsidP="001C0559">
      <w:pPr>
        <w:widowControl/>
        <w:shd w:val="clear" w:color="auto" w:fill="FFFFFF"/>
        <w:spacing w:before="150" w:after="75" w:line="480" w:lineRule="atLeast"/>
        <w:ind w:firstLine="480"/>
        <w:jc w:val="righ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2016年7月1日    </w:t>
      </w:r>
    </w:p>
    <w:p w:rsidR="001C0559" w:rsidRPr="001C0559" w:rsidRDefault="001C0559" w:rsidP="001C0559">
      <w:pPr>
        <w:widowControl/>
        <w:shd w:val="clear" w:color="auto" w:fill="FFFFFF"/>
        <w:spacing w:before="75" w:after="75" w:line="450" w:lineRule="atLeast"/>
        <w:jc w:val="left"/>
        <w:rPr>
          <w:rFonts w:asciiTheme="minorEastAsia" w:hAnsiTheme="minorEastAsia" w:cs="宋体" w:hint="eastAsia"/>
          <w:color w:val="3F3F3F"/>
          <w:kern w:val="0"/>
          <w:szCs w:val="21"/>
        </w:rPr>
      </w:pPr>
    </w:p>
    <w:p w:rsidR="001C0559" w:rsidRPr="001C0559" w:rsidRDefault="001C0559" w:rsidP="001C0559">
      <w:pPr>
        <w:widowControl/>
        <w:shd w:val="clear" w:color="auto" w:fill="FFFFFF"/>
        <w:spacing w:line="450" w:lineRule="atLeast"/>
        <w:jc w:val="left"/>
        <w:rPr>
          <w:rFonts w:asciiTheme="minorEastAsia" w:hAnsiTheme="minorEastAsia" w:cs="宋体" w:hint="eastAsia"/>
          <w:color w:val="3F3F3F"/>
          <w:kern w:val="0"/>
          <w:szCs w:val="21"/>
        </w:rPr>
      </w:pPr>
      <w:r w:rsidRPr="001C0559">
        <w:rPr>
          <w:rFonts w:asciiTheme="minorEastAsia" w:hAnsiTheme="minorEastAsia" w:cs="宋体" w:hint="eastAsia"/>
          <w:color w:val="3F3F3F"/>
          <w:kern w:val="0"/>
          <w:szCs w:val="21"/>
        </w:rPr>
        <w:t>来源： 财政部PPP中心</w:t>
      </w:r>
    </w:p>
    <w:p w:rsidR="00AF4269" w:rsidRPr="001C0559" w:rsidRDefault="00AF4269" w:rsidP="001C0559">
      <w:pPr>
        <w:rPr>
          <w:rFonts w:asciiTheme="minorEastAsia" w:hAnsiTheme="minorEastAsia"/>
          <w:szCs w:val="21"/>
        </w:rPr>
      </w:pPr>
    </w:p>
    <w:sectPr w:rsidR="00AF4269" w:rsidRPr="001C0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66" w:rsidRDefault="00C82E66" w:rsidP="003A2B6A">
      <w:r>
        <w:separator/>
      </w:r>
    </w:p>
  </w:endnote>
  <w:endnote w:type="continuationSeparator" w:id="0">
    <w:p w:rsidR="00C82E66" w:rsidRDefault="00C82E66" w:rsidP="003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66" w:rsidRDefault="00C82E66" w:rsidP="003A2B6A">
      <w:r>
        <w:separator/>
      </w:r>
    </w:p>
  </w:footnote>
  <w:footnote w:type="continuationSeparator" w:id="0">
    <w:p w:rsidR="00C82E66" w:rsidRDefault="00C82E66" w:rsidP="003A2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1"/>
    <w:rsid w:val="000246DC"/>
    <w:rsid w:val="001372E6"/>
    <w:rsid w:val="0017066B"/>
    <w:rsid w:val="001C0559"/>
    <w:rsid w:val="003A2B6A"/>
    <w:rsid w:val="005C674A"/>
    <w:rsid w:val="00943281"/>
    <w:rsid w:val="00A37B14"/>
    <w:rsid w:val="00AF4269"/>
    <w:rsid w:val="00C8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6E69F-0ADE-4EAE-9D9D-51E3D50A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C67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674A"/>
    <w:rPr>
      <w:rFonts w:ascii="宋体" w:eastAsia="宋体" w:hAnsi="宋体" w:cs="宋体"/>
      <w:b/>
      <w:bCs/>
      <w:kern w:val="0"/>
      <w:sz w:val="36"/>
      <w:szCs w:val="36"/>
    </w:rPr>
  </w:style>
  <w:style w:type="character" w:customStyle="1" w:styleId="msg">
    <w:name w:val="msg"/>
    <w:basedOn w:val="a0"/>
    <w:rsid w:val="005C674A"/>
  </w:style>
  <w:style w:type="paragraph" w:styleId="a3">
    <w:name w:val="Normal (Web)"/>
    <w:basedOn w:val="a"/>
    <w:uiPriority w:val="99"/>
    <w:semiHidden/>
    <w:unhideWhenUsed/>
    <w:rsid w:val="005C67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674A"/>
    <w:rPr>
      <w:b/>
      <w:bCs/>
    </w:rPr>
  </w:style>
  <w:style w:type="paragraph" w:styleId="a5">
    <w:name w:val="header"/>
    <w:basedOn w:val="a"/>
    <w:link w:val="Char"/>
    <w:uiPriority w:val="99"/>
    <w:unhideWhenUsed/>
    <w:rsid w:val="003A2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2B6A"/>
    <w:rPr>
      <w:sz w:val="18"/>
      <w:szCs w:val="18"/>
    </w:rPr>
  </w:style>
  <w:style w:type="paragraph" w:styleId="a6">
    <w:name w:val="footer"/>
    <w:basedOn w:val="a"/>
    <w:link w:val="Char0"/>
    <w:uiPriority w:val="99"/>
    <w:unhideWhenUsed/>
    <w:rsid w:val="003A2B6A"/>
    <w:pPr>
      <w:tabs>
        <w:tab w:val="center" w:pos="4153"/>
        <w:tab w:val="right" w:pos="8306"/>
      </w:tabs>
      <w:snapToGrid w:val="0"/>
      <w:jc w:val="left"/>
    </w:pPr>
    <w:rPr>
      <w:sz w:val="18"/>
      <w:szCs w:val="18"/>
    </w:rPr>
  </w:style>
  <w:style w:type="character" w:customStyle="1" w:styleId="Char0">
    <w:name w:val="页脚 Char"/>
    <w:basedOn w:val="a0"/>
    <w:link w:val="a6"/>
    <w:uiPriority w:val="99"/>
    <w:rsid w:val="003A2B6A"/>
    <w:rPr>
      <w:sz w:val="18"/>
      <w:szCs w:val="18"/>
    </w:rPr>
  </w:style>
  <w:style w:type="character" w:styleId="a7">
    <w:name w:val="Hyperlink"/>
    <w:basedOn w:val="a0"/>
    <w:uiPriority w:val="99"/>
    <w:semiHidden/>
    <w:unhideWhenUsed/>
    <w:rsid w:val="00137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33675">
      <w:bodyDiv w:val="1"/>
      <w:marLeft w:val="0"/>
      <w:marRight w:val="0"/>
      <w:marTop w:val="0"/>
      <w:marBottom w:val="0"/>
      <w:divBdr>
        <w:top w:val="none" w:sz="0" w:space="0" w:color="auto"/>
        <w:left w:val="none" w:sz="0" w:space="0" w:color="auto"/>
        <w:bottom w:val="none" w:sz="0" w:space="0" w:color="auto"/>
        <w:right w:val="none" w:sz="0" w:space="0" w:color="auto"/>
      </w:divBdr>
      <w:divsChild>
        <w:div w:id="1313363767">
          <w:marLeft w:val="0"/>
          <w:marRight w:val="0"/>
          <w:marTop w:val="0"/>
          <w:marBottom w:val="0"/>
          <w:divBdr>
            <w:top w:val="none" w:sz="0" w:space="0" w:color="auto"/>
            <w:left w:val="none" w:sz="0" w:space="0" w:color="auto"/>
            <w:bottom w:val="none" w:sz="0" w:space="0" w:color="auto"/>
            <w:right w:val="none" w:sz="0" w:space="0" w:color="auto"/>
          </w:divBdr>
        </w:div>
        <w:div w:id="2088460633">
          <w:marLeft w:val="0"/>
          <w:marRight w:val="0"/>
          <w:marTop w:val="0"/>
          <w:marBottom w:val="0"/>
          <w:divBdr>
            <w:top w:val="none" w:sz="0" w:space="0" w:color="auto"/>
            <w:left w:val="none" w:sz="0" w:space="0" w:color="auto"/>
            <w:bottom w:val="none" w:sz="0" w:space="0" w:color="auto"/>
            <w:right w:val="none" w:sz="0" w:space="0" w:color="auto"/>
          </w:divBdr>
        </w:div>
        <w:div w:id="863790044">
          <w:marLeft w:val="0"/>
          <w:marRight w:val="0"/>
          <w:marTop w:val="75"/>
          <w:marBottom w:val="75"/>
          <w:divBdr>
            <w:top w:val="none" w:sz="0" w:space="0" w:color="auto"/>
            <w:left w:val="none" w:sz="0" w:space="0" w:color="auto"/>
            <w:bottom w:val="none" w:sz="0" w:space="0" w:color="auto"/>
            <w:right w:val="none" w:sz="0" w:space="0" w:color="auto"/>
          </w:divBdr>
        </w:div>
      </w:divsChild>
    </w:div>
    <w:div w:id="688218333">
      <w:bodyDiv w:val="1"/>
      <w:marLeft w:val="0"/>
      <w:marRight w:val="0"/>
      <w:marTop w:val="0"/>
      <w:marBottom w:val="0"/>
      <w:divBdr>
        <w:top w:val="none" w:sz="0" w:space="0" w:color="auto"/>
        <w:left w:val="none" w:sz="0" w:space="0" w:color="auto"/>
        <w:bottom w:val="none" w:sz="0" w:space="0" w:color="auto"/>
        <w:right w:val="none" w:sz="0" w:space="0" w:color="auto"/>
      </w:divBdr>
      <w:divsChild>
        <w:div w:id="1714184163">
          <w:marLeft w:val="0"/>
          <w:marRight w:val="0"/>
          <w:marTop w:val="0"/>
          <w:marBottom w:val="0"/>
          <w:divBdr>
            <w:top w:val="none" w:sz="0" w:space="0" w:color="auto"/>
            <w:left w:val="none" w:sz="0" w:space="0" w:color="auto"/>
            <w:bottom w:val="none" w:sz="0" w:space="0" w:color="auto"/>
            <w:right w:val="none" w:sz="0" w:space="0" w:color="auto"/>
          </w:divBdr>
        </w:div>
        <w:div w:id="567031792">
          <w:marLeft w:val="0"/>
          <w:marRight w:val="0"/>
          <w:marTop w:val="0"/>
          <w:marBottom w:val="0"/>
          <w:divBdr>
            <w:top w:val="none" w:sz="0" w:space="0" w:color="auto"/>
            <w:left w:val="none" w:sz="0" w:space="0" w:color="auto"/>
            <w:bottom w:val="none" w:sz="0" w:space="0" w:color="auto"/>
            <w:right w:val="none" w:sz="0" w:space="0" w:color="auto"/>
          </w:divBdr>
        </w:div>
        <w:div w:id="431976357">
          <w:marLeft w:val="0"/>
          <w:marRight w:val="0"/>
          <w:marTop w:val="75"/>
          <w:marBottom w:val="75"/>
          <w:divBdr>
            <w:top w:val="none" w:sz="0" w:space="0" w:color="auto"/>
            <w:left w:val="none" w:sz="0" w:space="0" w:color="auto"/>
            <w:bottom w:val="none" w:sz="0" w:space="0" w:color="auto"/>
            <w:right w:val="none" w:sz="0" w:space="0" w:color="auto"/>
          </w:divBdr>
        </w:div>
      </w:divsChild>
    </w:div>
    <w:div w:id="855926494">
      <w:bodyDiv w:val="1"/>
      <w:marLeft w:val="0"/>
      <w:marRight w:val="0"/>
      <w:marTop w:val="0"/>
      <w:marBottom w:val="0"/>
      <w:divBdr>
        <w:top w:val="none" w:sz="0" w:space="0" w:color="auto"/>
        <w:left w:val="none" w:sz="0" w:space="0" w:color="auto"/>
        <w:bottom w:val="none" w:sz="0" w:space="0" w:color="auto"/>
        <w:right w:val="none" w:sz="0" w:space="0" w:color="auto"/>
      </w:divBdr>
      <w:divsChild>
        <w:div w:id="1820656787">
          <w:marLeft w:val="0"/>
          <w:marRight w:val="0"/>
          <w:marTop w:val="0"/>
          <w:marBottom w:val="0"/>
          <w:divBdr>
            <w:top w:val="none" w:sz="0" w:space="0" w:color="auto"/>
            <w:left w:val="none" w:sz="0" w:space="0" w:color="auto"/>
            <w:bottom w:val="none" w:sz="0" w:space="0" w:color="auto"/>
            <w:right w:val="none" w:sz="0" w:space="0" w:color="auto"/>
          </w:divBdr>
        </w:div>
        <w:div w:id="1911576046">
          <w:marLeft w:val="0"/>
          <w:marRight w:val="0"/>
          <w:marTop w:val="0"/>
          <w:marBottom w:val="0"/>
          <w:divBdr>
            <w:top w:val="none" w:sz="0" w:space="0" w:color="auto"/>
            <w:left w:val="none" w:sz="0" w:space="0" w:color="auto"/>
            <w:bottom w:val="none" w:sz="0" w:space="0" w:color="auto"/>
            <w:right w:val="none" w:sz="0" w:space="0" w:color="auto"/>
          </w:divBdr>
        </w:div>
        <w:div w:id="489372664">
          <w:marLeft w:val="0"/>
          <w:marRight w:val="0"/>
          <w:marTop w:val="75"/>
          <w:marBottom w:val="75"/>
          <w:divBdr>
            <w:top w:val="none" w:sz="0" w:space="0" w:color="auto"/>
            <w:left w:val="none" w:sz="0" w:space="0" w:color="auto"/>
            <w:bottom w:val="none" w:sz="0" w:space="0" w:color="auto"/>
            <w:right w:val="none" w:sz="0" w:space="0" w:color="auto"/>
          </w:divBdr>
        </w:div>
      </w:divsChild>
    </w:div>
    <w:div w:id="879513498">
      <w:bodyDiv w:val="1"/>
      <w:marLeft w:val="0"/>
      <w:marRight w:val="0"/>
      <w:marTop w:val="0"/>
      <w:marBottom w:val="0"/>
      <w:divBdr>
        <w:top w:val="none" w:sz="0" w:space="0" w:color="auto"/>
        <w:left w:val="none" w:sz="0" w:space="0" w:color="auto"/>
        <w:bottom w:val="none" w:sz="0" w:space="0" w:color="auto"/>
        <w:right w:val="none" w:sz="0" w:space="0" w:color="auto"/>
      </w:divBdr>
      <w:divsChild>
        <w:div w:id="514152531">
          <w:marLeft w:val="0"/>
          <w:marRight w:val="0"/>
          <w:marTop w:val="0"/>
          <w:marBottom w:val="0"/>
          <w:divBdr>
            <w:top w:val="none" w:sz="0" w:space="0" w:color="auto"/>
            <w:left w:val="none" w:sz="0" w:space="0" w:color="auto"/>
            <w:bottom w:val="none" w:sz="0" w:space="0" w:color="auto"/>
            <w:right w:val="none" w:sz="0" w:space="0" w:color="auto"/>
          </w:divBdr>
        </w:div>
        <w:div w:id="256141273">
          <w:marLeft w:val="0"/>
          <w:marRight w:val="0"/>
          <w:marTop w:val="0"/>
          <w:marBottom w:val="0"/>
          <w:divBdr>
            <w:top w:val="none" w:sz="0" w:space="0" w:color="auto"/>
            <w:left w:val="none" w:sz="0" w:space="0" w:color="auto"/>
            <w:bottom w:val="none" w:sz="0" w:space="0" w:color="auto"/>
            <w:right w:val="none" w:sz="0" w:space="0" w:color="auto"/>
          </w:divBdr>
        </w:div>
        <w:div w:id="192573539">
          <w:marLeft w:val="0"/>
          <w:marRight w:val="0"/>
          <w:marTop w:val="75"/>
          <w:marBottom w:val="75"/>
          <w:divBdr>
            <w:top w:val="none" w:sz="0" w:space="0" w:color="auto"/>
            <w:left w:val="none" w:sz="0" w:space="0" w:color="auto"/>
            <w:bottom w:val="none" w:sz="0" w:space="0" w:color="auto"/>
            <w:right w:val="none" w:sz="0" w:space="0" w:color="auto"/>
          </w:divBdr>
        </w:div>
      </w:divsChild>
    </w:div>
    <w:div w:id="915282788">
      <w:bodyDiv w:val="1"/>
      <w:marLeft w:val="0"/>
      <w:marRight w:val="0"/>
      <w:marTop w:val="0"/>
      <w:marBottom w:val="0"/>
      <w:divBdr>
        <w:top w:val="none" w:sz="0" w:space="0" w:color="auto"/>
        <w:left w:val="none" w:sz="0" w:space="0" w:color="auto"/>
        <w:bottom w:val="none" w:sz="0" w:space="0" w:color="auto"/>
        <w:right w:val="none" w:sz="0" w:space="0" w:color="auto"/>
      </w:divBdr>
      <w:divsChild>
        <w:div w:id="1711418732">
          <w:marLeft w:val="0"/>
          <w:marRight w:val="0"/>
          <w:marTop w:val="0"/>
          <w:marBottom w:val="0"/>
          <w:divBdr>
            <w:top w:val="none" w:sz="0" w:space="0" w:color="auto"/>
            <w:left w:val="none" w:sz="0" w:space="0" w:color="auto"/>
            <w:bottom w:val="none" w:sz="0" w:space="0" w:color="auto"/>
            <w:right w:val="none" w:sz="0" w:space="0" w:color="auto"/>
          </w:divBdr>
        </w:div>
        <w:div w:id="414473266">
          <w:marLeft w:val="0"/>
          <w:marRight w:val="0"/>
          <w:marTop w:val="0"/>
          <w:marBottom w:val="0"/>
          <w:divBdr>
            <w:top w:val="none" w:sz="0" w:space="0" w:color="auto"/>
            <w:left w:val="none" w:sz="0" w:space="0" w:color="auto"/>
            <w:bottom w:val="none" w:sz="0" w:space="0" w:color="auto"/>
            <w:right w:val="none" w:sz="0" w:space="0" w:color="auto"/>
          </w:divBdr>
        </w:div>
        <w:div w:id="7297709">
          <w:marLeft w:val="0"/>
          <w:marRight w:val="0"/>
          <w:marTop w:val="75"/>
          <w:marBottom w:val="75"/>
          <w:divBdr>
            <w:top w:val="none" w:sz="0" w:space="0" w:color="auto"/>
            <w:left w:val="none" w:sz="0" w:space="0" w:color="auto"/>
            <w:bottom w:val="none" w:sz="0" w:space="0" w:color="auto"/>
            <w:right w:val="none" w:sz="0" w:space="0" w:color="auto"/>
          </w:divBdr>
        </w:div>
      </w:divsChild>
    </w:div>
    <w:div w:id="1367372664">
      <w:bodyDiv w:val="1"/>
      <w:marLeft w:val="0"/>
      <w:marRight w:val="0"/>
      <w:marTop w:val="0"/>
      <w:marBottom w:val="0"/>
      <w:divBdr>
        <w:top w:val="none" w:sz="0" w:space="0" w:color="auto"/>
        <w:left w:val="none" w:sz="0" w:space="0" w:color="auto"/>
        <w:bottom w:val="none" w:sz="0" w:space="0" w:color="auto"/>
        <w:right w:val="none" w:sz="0" w:space="0" w:color="auto"/>
      </w:divBdr>
      <w:divsChild>
        <w:div w:id="736778344">
          <w:marLeft w:val="0"/>
          <w:marRight w:val="0"/>
          <w:marTop w:val="0"/>
          <w:marBottom w:val="0"/>
          <w:divBdr>
            <w:top w:val="none" w:sz="0" w:space="0" w:color="auto"/>
            <w:left w:val="none" w:sz="0" w:space="0" w:color="auto"/>
            <w:bottom w:val="none" w:sz="0" w:space="0" w:color="auto"/>
            <w:right w:val="none" w:sz="0" w:space="0" w:color="auto"/>
          </w:divBdr>
        </w:div>
        <w:div w:id="491795827">
          <w:marLeft w:val="0"/>
          <w:marRight w:val="0"/>
          <w:marTop w:val="0"/>
          <w:marBottom w:val="0"/>
          <w:divBdr>
            <w:top w:val="none" w:sz="0" w:space="0" w:color="auto"/>
            <w:left w:val="none" w:sz="0" w:space="0" w:color="auto"/>
            <w:bottom w:val="none" w:sz="0" w:space="0" w:color="auto"/>
            <w:right w:val="none" w:sz="0" w:space="0" w:color="auto"/>
          </w:divBdr>
        </w:div>
        <w:div w:id="340595659">
          <w:marLeft w:val="0"/>
          <w:marRight w:val="0"/>
          <w:marTop w:val="75"/>
          <w:marBottom w:val="75"/>
          <w:divBdr>
            <w:top w:val="none" w:sz="0" w:space="0" w:color="auto"/>
            <w:left w:val="none" w:sz="0" w:space="0" w:color="auto"/>
            <w:bottom w:val="none" w:sz="0" w:space="0" w:color="auto"/>
            <w:right w:val="none" w:sz="0" w:space="0" w:color="auto"/>
          </w:divBdr>
        </w:div>
      </w:divsChild>
    </w:div>
    <w:div w:id="1968661092">
      <w:bodyDiv w:val="1"/>
      <w:marLeft w:val="0"/>
      <w:marRight w:val="0"/>
      <w:marTop w:val="0"/>
      <w:marBottom w:val="0"/>
      <w:divBdr>
        <w:top w:val="none" w:sz="0" w:space="0" w:color="auto"/>
        <w:left w:val="none" w:sz="0" w:space="0" w:color="auto"/>
        <w:bottom w:val="none" w:sz="0" w:space="0" w:color="auto"/>
        <w:right w:val="none" w:sz="0" w:space="0" w:color="auto"/>
      </w:divBdr>
      <w:divsChild>
        <w:div w:id="314573544">
          <w:marLeft w:val="0"/>
          <w:marRight w:val="0"/>
          <w:marTop w:val="0"/>
          <w:marBottom w:val="0"/>
          <w:divBdr>
            <w:top w:val="none" w:sz="0" w:space="0" w:color="auto"/>
            <w:left w:val="none" w:sz="0" w:space="0" w:color="auto"/>
            <w:bottom w:val="none" w:sz="0" w:space="0" w:color="auto"/>
            <w:right w:val="none" w:sz="0" w:space="0" w:color="auto"/>
          </w:divBdr>
        </w:div>
        <w:div w:id="425153325">
          <w:marLeft w:val="0"/>
          <w:marRight w:val="0"/>
          <w:marTop w:val="0"/>
          <w:marBottom w:val="0"/>
          <w:divBdr>
            <w:top w:val="none" w:sz="0" w:space="0" w:color="auto"/>
            <w:left w:val="none" w:sz="0" w:space="0" w:color="auto"/>
            <w:bottom w:val="none" w:sz="0" w:space="0" w:color="auto"/>
            <w:right w:val="none" w:sz="0" w:space="0" w:color="auto"/>
          </w:divBdr>
        </w:div>
        <w:div w:id="37685748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2017-02-20T05:13:00Z</dcterms:created>
  <dcterms:modified xsi:type="dcterms:W3CDTF">2017-02-20T05:13:00Z</dcterms:modified>
</cp:coreProperties>
</file>