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75F" w:rsidRDefault="0034375F" w:rsidP="0034375F">
      <w:pPr>
        <w:widowControl/>
        <w:shd w:val="clear" w:color="auto" w:fill="FFFFFF"/>
        <w:spacing w:line="525" w:lineRule="atLeast"/>
        <w:jc w:val="center"/>
        <w:outlineLvl w:val="1"/>
        <w:rPr>
          <w:rFonts w:asciiTheme="minorEastAsia" w:hAnsiTheme="minorEastAsia" w:cs="宋体"/>
          <w:b/>
          <w:bCs/>
          <w:color w:val="000080"/>
          <w:kern w:val="0"/>
          <w:szCs w:val="21"/>
        </w:rPr>
      </w:pPr>
      <w:bookmarkStart w:id="0" w:name="_GoBack"/>
      <w:r w:rsidRPr="0034375F">
        <w:rPr>
          <w:rFonts w:asciiTheme="minorEastAsia" w:hAnsiTheme="minorEastAsia" w:cs="宋体" w:hint="eastAsia"/>
          <w:b/>
          <w:bCs/>
          <w:color w:val="000080"/>
          <w:kern w:val="0"/>
          <w:szCs w:val="21"/>
        </w:rPr>
        <w:t>关于印发《地方预决算公开操作规程》的通知</w:t>
      </w:r>
    </w:p>
    <w:p w:rsidR="0034375F" w:rsidRPr="0034375F" w:rsidRDefault="0034375F" w:rsidP="0034375F">
      <w:pPr>
        <w:widowControl/>
        <w:shd w:val="clear" w:color="auto" w:fill="FFFFFF"/>
        <w:spacing w:line="525" w:lineRule="atLeast"/>
        <w:jc w:val="center"/>
        <w:outlineLvl w:val="1"/>
        <w:rPr>
          <w:rFonts w:asciiTheme="minorEastAsia" w:hAnsiTheme="minorEastAsia" w:cs="宋体" w:hint="eastAsia"/>
          <w:b/>
          <w:bCs/>
          <w:color w:val="000080"/>
          <w:kern w:val="0"/>
          <w:szCs w:val="21"/>
        </w:rPr>
      </w:pPr>
      <w:r w:rsidRPr="0034375F">
        <w:rPr>
          <w:rFonts w:asciiTheme="minorEastAsia" w:hAnsiTheme="minorEastAsia" w:cs="宋体" w:hint="eastAsia"/>
          <w:b/>
          <w:color w:val="3F3F3F"/>
          <w:kern w:val="0"/>
          <w:szCs w:val="21"/>
        </w:rPr>
        <w:t>财预[2016]143号</w:t>
      </w:r>
    </w:p>
    <w:bookmarkEnd w:id="0"/>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各省、自治区、直辖市、计划单列市财政厅（局）；财政部驻各省、自治区、直辖市、计划单列市财政监察专员办事处：</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现将《地方预决算公开操作规程》印发给你们，请认真贯彻执行。</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附件：地方预决算公开操作规程</w:t>
      </w:r>
    </w:p>
    <w:p w:rsidR="0034375F" w:rsidRPr="0034375F" w:rsidRDefault="0034375F" w:rsidP="0034375F">
      <w:pPr>
        <w:widowControl/>
        <w:shd w:val="clear" w:color="auto" w:fill="FFFFFF"/>
        <w:spacing w:before="75" w:after="75" w:line="450" w:lineRule="atLeast"/>
        <w:jc w:val="righ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w:t>
      </w:r>
      <w:r>
        <w:rPr>
          <w:rFonts w:asciiTheme="minorEastAsia" w:hAnsiTheme="minorEastAsia" w:cs="宋体" w:hint="eastAsia"/>
          <w:color w:val="3F3F3F"/>
          <w:kern w:val="0"/>
          <w:szCs w:val="21"/>
        </w:rPr>
        <w:t>                           </w:t>
      </w:r>
      <w:r w:rsidRPr="0034375F">
        <w:rPr>
          <w:rFonts w:asciiTheme="minorEastAsia" w:hAnsiTheme="minorEastAsia" w:cs="宋体" w:hint="eastAsia"/>
          <w:color w:val="3F3F3F"/>
          <w:kern w:val="0"/>
          <w:szCs w:val="21"/>
        </w:rPr>
        <w:t>财 政 部</w:t>
      </w:r>
    </w:p>
    <w:p w:rsidR="0034375F" w:rsidRPr="0034375F" w:rsidRDefault="0034375F" w:rsidP="0034375F">
      <w:pPr>
        <w:widowControl/>
        <w:shd w:val="clear" w:color="auto" w:fill="FFFFFF"/>
        <w:spacing w:before="75" w:after="75" w:line="450" w:lineRule="atLeast"/>
        <w:jc w:val="righ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w:t>
      </w:r>
      <w:r>
        <w:rPr>
          <w:rFonts w:asciiTheme="minorEastAsia" w:hAnsiTheme="minorEastAsia" w:cs="宋体" w:hint="eastAsia"/>
          <w:color w:val="3F3F3F"/>
          <w:kern w:val="0"/>
          <w:szCs w:val="21"/>
        </w:rPr>
        <w:t>                            </w:t>
      </w:r>
      <w:r w:rsidRPr="0034375F">
        <w:rPr>
          <w:rFonts w:asciiTheme="minorEastAsia" w:hAnsiTheme="minorEastAsia" w:cs="宋体" w:hint="eastAsia"/>
          <w:color w:val="3F3F3F"/>
          <w:kern w:val="0"/>
          <w:szCs w:val="21"/>
        </w:rPr>
        <w:t>2016年10月27日</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附件：</w:t>
      </w:r>
    </w:p>
    <w:p w:rsidR="0034375F" w:rsidRPr="0034375F" w:rsidRDefault="0034375F" w:rsidP="0034375F">
      <w:pPr>
        <w:widowControl/>
        <w:shd w:val="clear" w:color="auto" w:fill="FFFFFF"/>
        <w:spacing w:before="75" w:after="75" w:line="450" w:lineRule="atLeast"/>
        <w:jc w:val="center"/>
        <w:rPr>
          <w:rFonts w:asciiTheme="minorEastAsia" w:hAnsiTheme="minorEastAsia" w:cs="宋体" w:hint="eastAsia"/>
          <w:color w:val="3F3F3F"/>
          <w:kern w:val="0"/>
          <w:szCs w:val="21"/>
        </w:rPr>
      </w:pPr>
      <w:r w:rsidRPr="0034375F">
        <w:rPr>
          <w:rFonts w:asciiTheme="minorEastAsia" w:hAnsiTheme="minorEastAsia" w:cs="宋体" w:hint="eastAsia"/>
          <w:b/>
          <w:bCs/>
          <w:color w:val="3F3F3F"/>
          <w:kern w:val="0"/>
          <w:szCs w:val="21"/>
        </w:rPr>
        <w:t>地方预决算公开操作规程</w:t>
      </w:r>
    </w:p>
    <w:p w:rsidR="0034375F" w:rsidRPr="0034375F" w:rsidRDefault="0034375F" w:rsidP="0034375F">
      <w:pPr>
        <w:widowControl/>
        <w:shd w:val="clear" w:color="auto" w:fill="FFFFFF"/>
        <w:spacing w:before="75" w:after="75" w:line="450" w:lineRule="atLeast"/>
        <w:jc w:val="center"/>
        <w:rPr>
          <w:rFonts w:asciiTheme="minorEastAsia" w:hAnsiTheme="minorEastAsia" w:cs="宋体" w:hint="eastAsia"/>
          <w:color w:val="3F3F3F"/>
          <w:kern w:val="0"/>
          <w:szCs w:val="21"/>
        </w:rPr>
      </w:pPr>
      <w:r w:rsidRPr="0034375F">
        <w:rPr>
          <w:rFonts w:asciiTheme="minorEastAsia" w:hAnsiTheme="minorEastAsia" w:cs="宋体" w:hint="eastAsia"/>
          <w:b/>
          <w:bCs/>
          <w:color w:val="3F3F3F"/>
          <w:kern w:val="0"/>
          <w:szCs w:val="21"/>
        </w:rPr>
        <w:t>一、总    则</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第一条 为贯彻落实党的十八届三中全会关于建立全面规范、公开透明预算制度要求和党中央、国务院有关决策部署，进一步改进地方预决算公开工作，根据《中华人民共和国预算法》、《中华人民共和国政府信息公开条例》等法律法规规定，制定本规程。</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第二条 本规程所称地方预决算，是指经地方各级人民代表大会或其常务委员会批准的预算、预算调整、决算、预算执行情况的报告及报表（以下简称政府预决算），以及经地方各级政府财政部门批复的部门预算、决算及报表（以下简称部门预决算）。</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第三条 地方预决算公开的原则是：以公开为常态，不公开为例外，依法依规公开预决算。除涉及国家秘密外，不得少公开、不公开应当公开的事项，保证公开内容全面、真实、完整。通过公开进一步促进财政改革，促进财税政策落实，促进财政管理规范，促进政府效能提高。</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第四条 地方预决算公开的基本要求是：公开及时，内容准确，形式规范。坚持问题导向，重视公开实效，聚焦社会热点，回应公众关切。方便社会监督，公开内容公众找得着、看得懂、能监督。</w:t>
      </w:r>
    </w:p>
    <w:p w:rsidR="0034375F" w:rsidRPr="0034375F" w:rsidRDefault="0034375F" w:rsidP="0034375F">
      <w:pPr>
        <w:widowControl/>
        <w:shd w:val="clear" w:color="auto" w:fill="FFFFFF"/>
        <w:spacing w:before="75" w:after="75" w:line="450" w:lineRule="atLeast"/>
        <w:jc w:val="center"/>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w:t>
      </w:r>
      <w:r w:rsidRPr="0034375F">
        <w:rPr>
          <w:rFonts w:asciiTheme="minorEastAsia" w:hAnsiTheme="minorEastAsia" w:cs="宋体" w:hint="eastAsia"/>
          <w:b/>
          <w:bCs/>
          <w:color w:val="3F3F3F"/>
          <w:kern w:val="0"/>
          <w:szCs w:val="21"/>
        </w:rPr>
        <w:t xml:space="preserve">　二、预决算公开职责</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第五条 地方各级财政部门在本级政府信息公开工作主管部门领导下，组织开展本地区政府预决算公开工作，制定本地区预决算公开的规定，负责向社会公开政府预决算；指导</w:t>
      </w:r>
      <w:r w:rsidRPr="0034375F">
        <w:rPr>
          <w:rFonts w:asciiTheme="minorEastAsia" w:hAnsiTheme="minorEastAsia" w:cs="宋体" w:hint="eastAsia"/>
          <w:color w:val="3F3F3F"/>
          <w:kern w:val="0"/>
          <w:szCs w:val="21"/>
        </w:rPr>
        <w:lastRenderedPageBreak/>
        <w:t>和督促本级各部门和下级财政部门预决算公开工作，向本级政府信息公开工作主管部门和上一级政府财政部门报告本地区预决算公开情况。</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第六条 地方各部门在本级政府信息公开工作主管部门领导下，组织开展本部门预决算公开工作，制定本部门预决算公开规定，负责向社会公开本部门预决算，向本级政府信息公开工作主管部门和本级政府财政部门报告本部门预决算公开情况。</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第七条 地方各级财政部门和各部门应当树立依法公开观念，增强主动公开意识，切实履行主动公开责任；加强沟通合作,相互配合，共同推进本地区预决算公开工作。</w:t>
      </w:r>
    </w:p>
    <w:p w:rsidR="0034375F" w:rsidRPr="0034375F" w:rsidRDefault="0034375F" w:rsidP="0034375F">
      <w:pPr>
        <w:widowControl/>
        <w:shd w:val="clear" w:color="auto" w:fill="FFFFFF"/>
        <w:spacing w:before="75" w:after="75" w:line="450" w:lineRule="atLeast"/>
        <w:jc w:val="center"/>
        <w:rPr>
          <w:rFonts w:asciiTheme="minorEastAsia" w:hAnsiTheme="minorEastAsia" w:cs="宋体" w:hint="eastAsia"/>
          <w:color w:val="3F3F3F"/>
          <w:kern w:val="0"/>
          <w:szCs w:val="21"/>
        </w:rPr>
      </w:pPr>
      <w:r w:rsidRPr="0034375F">
        <w:rPr>
          <w:rFonts w:asciiTheme="minorEastAsia" w:hAnsiTheme="minorEastAsia" w:cs="宋体" w:hint="eastAsia"/>
          <w:b/>
          <w:bCs/>
          <w:color w:val="3F3F3F"/>
          <w:kern w:val="0"/>
          <w:szCs w:val="21"/>
        </w:rPr>
        <w:t>三、预决算公开时间</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第八条 政府预决算应当在本级人民代表大会或其常务委员会批准后20日内向社会公开。地方各级财政部门必须在法律规定的时限内公开，鼓励公开时间适当提前。</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第九条 部门预决算应当在本级政府财政部门批复后20日内向社会公开。地方各部门必须在法律规定的时限内公开，鼓励公开时间适当提前，原则上在同一天集中公开。</w:t>
      </w:r>
    </w:p>
    <w:p w:rsidR="0034375F" w:rsidRPr="0034375F" w:rsidRDefault="0034375F" w:rsidP="0034375F">
      <w:pPr>
        <w:widowControl/>
        <w:shd w:val="clear" w:color="auto" w:fill="FFFFFF"/>
        <w:spacing w:before="75" w:after="75" w:line="450" w:lineRule="atLeast"/>
        <w:jc w:val="center"/>
        <w:rPr>
          <w:rFonts w:asciiTheme="minorEastAsia" w:hAnsiTheme="minorEastAsia" w:cs="宋体" w:hint="eastAsia"/>
          <w:color w:val="3F3F3F"/>
          <w:kern w:val="0"/>
          <w:szCs w:val="21"/>
        </w:rPr>
      </w:pPr>
      <w:r w:rsidRPr="0034375F">
        <w:rPr>
          <w:rFonts w:asciiTheme="minorEastAsia" w:hAnsiTheme="minorEastAsia" w:cs="宋体" w:hint="eastAsia"/>
          <w:b/>
          <w:bCs/>
          <w:color w:val="3F3F3F"/>
          <w:kern w:val="0"/>
          <w:szCs w:val="21"/>
        </w:rPr>
        <w:t>四、政府预决算公开内容</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第十条 地方各级财政部门应当公开一般公共预算、政府性基金预算、国有资本经营预算、社会保险基金预算四本预算。涉及国家秘密的除外。</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第十一条 地方一般公共预算原则上至少公开6张报表，包括：①一般公共预算收入表。②一般公共预算支出表。③一般公共预算本级支出表。④一般公共预算本级基本支出表。⑤一般公共预算税收返还和转移支付表。⑥政府一般债务限额和余额情况表。</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地方本级汇总的一般公共预算“三公”经费，包括预算总额，以及因公出国（境）费、公务用车购置及运行费（区分公务用车购置费、公务用车运行费两项）、公务接待费分项数额，由地方各级财政部门负责公开，并对增减变化情况进行说明。</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第十二条 地方政府性基金预算原则上至少公开4张报表，包括：①政府性基金收入表。②政府性基金支出表。③政府性基金转移支付表。④政府专项债务限额和余额情况表。</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第十三条 地方国有资本经营预算原则上至少公开2张报表，包括：①国有资本经营预算收入表。②国有资本经营预算支出表。对下安排转移支付的应当公开国有资本经营预算转移支付表。</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第十四条 地方社会保险基金预算原则上至少公开2张报表，包括：①社会保险基金收入表。②社会保险基金支出表。没有数据的表格应当列出空表并说明。</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lastRenderedPageBreak/>
        <w:t xml:space="preserve">　　第十五条 地方一般公共预算、政府性基金预算、国有资本经营预算和社会保险基金预算报表中涉及本级支出的，应当公开到功能分类项级科目。一般公共预算基本支出应当公开到经济性质分类款级科目，专项转移支付应当分地区、分项目公开。</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第十六条 地方各级财政部门在公开政府预决算时，应当对财政转移支付安排、举借政府债务、预算绩效工作开展情况等重要事项进行解释、说明。</w:t>
      </w:r>
    </w:p>
    <w:p w:rsidR="0034375F" w:rsidRPr="0034375F" w:rsidRDefault="0034375F" w:rsidP="0034375F">
      <w:pPr>
        <w:widowControl/>
        <w:shd w:val="clear" w:color="auto" w:fill="FFFFFF"/>
        <w:spacing w:before="75" w:after="75" w:line="450" w:lineRule="atLeast"/>
        <w:jc w:val="center"/>
        <w:rPr>
          <w:rFonts w:asciiTheme="minorEastAsia" w:hAnsiTheme="minorEastAsia" w:cs="宋体" w:hint="eastAsia"/>
          <w:color w:val="3F3F3F"/>
          <w:kern w:val="0"/>
          <w:szCs w:val="21"/>
        </w:rPr>
      </w:pPr>
      <w:r w:rsidRPr="0034375F">
        <w:rPr>
          <w:rFonts w:asciiTheme="minorEastAsia" w:hAnsiTheme="minorEastAsia" w:cs="宋体" w:hint="eastAsia"/>
          <w:b/>
          <w:bCs/>
          <w:color w:val="3F3F3F"/>
          <w:kern w:val="0"/>
          <w:szCs w:val="21"/>
        </w:rPr>
        <w:t>五、部门预决算公开内容</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第十七条 地方部门预决算公开的内容为地方各级财政部门批复的部门预决算及报表，包括部门收支总体情况和财政拨款收支情况，其中：财政拨款收支情况包括一般公共预算、政府性基金预算、国有资本经营预算拨款收支情况。涉及国家秘密的除外。</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第十八条 部门收支总体情况原则上至少公开3张报表，包括：①部门收支总体情况表。②部门收入总体情况表。③部门支出总体情况表。</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财政拨款收支情况原则上至少公开5张报表，包括：①财政拨款收支总体情况表。②一般公共预算支出情况表。③一般公共预算基本支出情况表。④一般公共预算“三公”经费支出情况表。⑤政府性基金预算支出情况表。没有数据的表格应当列出空表并说明。</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第十九条 一般公共预算支出情况表公开到功能分类项级科目。一般公共预算基本支出表公开到经济性质分类款级科目。一般公共预算“三公”经费支出表按“因公出国（境）费”、“公务用车购置及运行费”、“公务接待费”公开，其中，“公务用车购置及运行费”应当细化到“公务用车购置费”、“公务用车运行费”两个项目。</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第二十条 地方各部门公开预决算的同时，应当一并公开本部门的职责、机构设置情况、预决算收支增减变化、机关运行经费安排以及政府采购等情况的说明，并对专业性较强的名词进行解释。</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各地区应结合工作进展情况，推动各部门逐步公开国有资产占用、重点项目预算的绩效目标和绩效评价结果等情况。</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本条第一款所称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rsidR="0034375F" w:rsidRPr="0034375F" w:rsidRDefault="0034375F" w:rsidP="0034375F">
      <w:pPr>
        <w:widowControl/>
        <w:shd w:val="clear" w:color="auto" w:fill="FFFFFF"/>
        <w:spacing w:before="75" w:after="75" w:line="450" w:lineRule="atLeast"/>
        <w:jc w:val="center"/>
        <w:rPr>
          <w:rFonts w:asciiTheme="minorEastAsia" w:hAnsiTheme="minorEastAsia" w:cs="宋体" w:hint="eastAsia"/>
          <w:color w:val="3F3F3F"/>
          <w:kern w:val="0"/>
          <w:szCs w:val="21"/>
        </w:rPr>
      </w:pPr>
      <w:r w:rsidRPr="0034375F">
        <w:rPr>
          <w:rFonts w:asciiTheme="minorEastAsia" w:hAnsiTheme="minorEastAsia" w:cs="宋体" w:hint="eastAsia"/>
          <w:b/>
          <w:bCs/>
          <w:color w:val="3F3F3F"/>
          <w:kern w:val="0"/>
          <w:szCs w:val="21"/>
        </w:rPr>
        <w:t>六、预决算公开方式</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lastRenderedPageBreak/>
        <w:t xml:space="preserve">　　第二十一条 地方各级财政部门和各部门建有门户网站的，应当在门户网站公开预决算，并永久保留，其中当年预决算应当公开在网站醒目位置；没有门户网站的，应当采取措施在公开媒体公开预决算，并积极推动门户网站建设。</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第二十二条 自2017年起，地方各级财政部门应当在本级政府或财政部门门户网站上设立预决算公开统一平台（或专栏），将政府预决算、部门预决算在平台（或专栏）上集中公开。对在统一平台公开政府预决算、部门预决算，应当编制目录，对公开内容进行分类、分级，方便公众查阅和监督。</w:t>
      </w:r>
    </w:p>
    <w:p w:rsidR="0034375F" w:rsidRPr="0034375F" w:rsidRDefault="0034375F" w:rsidP="0034375F">
      <w:pPr>
        <w:widowControl/>
        <w:shd w:val="clear" w:color="auto" w:fill="FFFFFF"/>
        <w:spacing w:before="75" w:after="75" w:line="450" w:lineRule="atLeast"/>
        <w:jc w:val="center"/>
        <w:rPr>
          <w:rFonts w:asciiTheme="minorEastAsia" w:hAnsiTheme="minorEastAsia" w:cs="宋体" w:hint="eastAsia"/>
          <w:color w:val="3F3F3F"/>
          <w:kern w:val="0"/>
          <w:szCs w:val="21"/>
        </w:rPr>
      </w:pPr>
      <w:r w:rsidRPr="0034375F">
        <w:rPr>
          <w:rFonts w:asciiTheme="minorEastAsia" w:hAnsiTheme="minorEastAsia" w:cs="宋体" w:hint="eastAsia"/>
          <w:b/>
          <w:bCs/>
          <w:color w:val="3F3F3F"/>
          <w:kern w:val="0"/>
          <w:szCs w:val="21"/>
        </w:rPr>
        <w:t>七、涉密事项管理</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第二十三条 地方各级财政部门和各部门应当建立健全预决算公开保密审查机制，严格依照《中华人民共和国保守国家秘密法》、《中华人民共和国政府信息公开条例》等法律法规规定进行审查。</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第二十四条 地方各级财政部门和各部门在依法公开政府预决算、部门预决算时，对涉及国家秘密的内容不予公开。部分内容涉及国家秘密的，在确保安全的前提下,按照下列原则处理：</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（一）同一功能分类款级科目下，大部分项级科目涉密的，仅公开到该款级科目；</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（二）同一功能分类类级科目下，大部分款级科目涉密的，仅公开到该类级科目；</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（三）个别功能分类款级科目或项级科目涉密的，除不公开该涉密科目外，同一级次的“其他支出”科目也不公开。</w:t>
      </w:r>
    </w:p>
    <w:p w:rsidR="0034375F" w:rsidRPr="0034375F" w:rsidRDefault="0034375F" w:rsidP="0034375F">
      <w:pPr>
        <w:widowControl/>
        <w:shd w:val="clear" w:color="auto" w:fill="FFFFFF"/>
        <w:spacing w:before="75" w:after="75" w:line="450" w:lineRule="atLeast"/>
        <w:jc w:val="center"/>
        <w:rPr>
          <w:rFonts w:asciiTheme="minorEastAsia" w:hAnsiTheme="minorEastAsia" w:cs="宋体" w:hint="eastAsia"/>
          <w:color w:val="3F3F3F"/>
          <w:kern w:val="0"/>
          <w:szCs w:val="21"/>
        </w:rPr>
      </w:pPr>
      <w:r w:rsidRPr="0034375F">
        <w:rPr>
          <w:rFonts w:asciiTheme="minorEastAsia" w:hAnsiTheme="minorEastAsia" w:cs="宋体" w:hint="eastAsia"/>
          <w:b/>
          <w:bCs/>
          <w:color w:val="3F3F3F"/>
          <w:kern w:val="0"/>
          <w:szCs w:val="21"/>
        </w:rPr>
        <w:t>八、保障措施</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第二十五条 地方各级财政部门应当加强对本地区预决算公开工作的指导，及时制定预决算公开规范，明确政府预决算和部门预决算公开时间、内容、程序，选择部分工作基础好的下级财政部门和有关部门制作公开模版，提供下级财政部门、本级各部门参照，提高本地区政府预决算、部门预决算公开的规范化水平。</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第二十六条 地方各级财政部门要将预决算公开情况纳入地方财政工作考核范围，选择预决算公开的及时性、完整性、准确性、细化程度，以及公开形式是否规范、组织是否切实有效等指标，结合社会公众评价，对本级各部门和下级财政部门预决算公开情况进行考核。各部门要结合实际，将预决算公开纳入绩效考核范围，增强职能部门和相关人员责任。</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lastRenderedPageBreak/>
        <w:t xml:space="preserve">　　第二十七条 地方各级财政部门应当在本级政府信息公开工作主管部门领导下，开展预决算公开检查。财政部驻各省、自治区、直辖市、计划单列市财政监察专员办事处（以下简称专员办）应当按照国务院要求，将地方预决算公开工作纳入日常监督范围，对地方预决算公开情况进行监督检查。</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地方各级财政部门、专员办应当对预决算公开检查结果进行量化评价、排名，排名情况在系统内通报。检查中发现的问题要坚决曝光，监督整改。整改不力的可采取通报、约谈和现场督导等方式，督促整改到位。</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第二十八条  地方预决算公开检查中发现依法应当追究责任的，应当移送政府信息公开工作主管部门和监察机关，建议其依照《中华人民共和国预算法》、《中华人民共和国政府信息公开条例》等法律法规的规定，对直接负责的主管人员和其他直接责任人员给予处分。</w:t>
      </w:r>
    </w:p>
    <w:p w:rsidR="0034375F" w:rsidRPr="0034375F" w:rsidRDefault="0034375F" w:rsidP="0034375F">
      <w:pPr>
        <w:widowControl/>
        <w:shd w:val="clear" w:color="auto" w:fill="FFFFFF"/>
        <w:spacing w:before="75" w:after="75" w:line="450" w:lineRule="atLeast"/>
        <w:jc w:val="center"/>
        <w:rPr>
          <w:rFonts w:asciiTheme="minorEastAsia" w:hAnsiTheme="minorEastAsia" w:cs="宋体" w:hint="eastAsia"/>
          <w:color w:val="3F3F3F"/>
          <w:kern w:val="0"/>
          <w:szCs w:val="21"/>
        </w:rPr>
      </w:pPr>
      <w:r w:rsidRPr="0034375F">
        <w:rPr>
          <w:rFonts w:asciiTheme="minorEastAsia" w:hAnsiTheme="minorEastAsia" w:cs="宋体" w:hint="eastAsia"/>
          <w:b/>
          <w:bCs/>
          <w:color w:val="3F3F3F"/>
          <w:kern w:val="0"/>
          <w:szCs w:val="21"/>
        </w:rPr>
        <w:t>九、附  则</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第二十九条 本规程自印发之日起执行。地方各级财政部门可结合实际情况制定实施细则。</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xml:space="preserve">　　地方各级财政部门在执行中发现问题，应当及时向财政部报告。</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w:t>
      </w:r>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附件下载:</w:t>
      </w:r>
    </w:p>
    <w:p w:rsidR="0034375F" w:rsidRPr="0034375F" w:rsidRDefault="0034375F" w:rsidP="0034375F">
      <w:pPr>
        <w:widowControl/>
        <w:shd w:val="clear" w:color="auto" w:fill="FFFFFF"/>
        <w:spacing w:before="75" w:after="75" w:line="240" w:lineRule="atLeast"/>
        <w:jc w:val="left"/>
        <w:rPr>
          <w:rFonts w:asciiTheme="minorEastAsia" w:hAnsiTheme="minorEastAsia" w:cs="宋体" w:hint="eastAsia"/>
          <w:color w:val="3F3F3F"/>
          <w:kern w:val="0"/>
          <w:szCs w:val="21"/>
        </w:rPr>
      </w:pPr>
      <w:r w:rsidRPr="0034375F">
        <w:rPr>
          <w:rFonts w:asciiTheme="minorEastAsia" w:hAnsiTheme="minorEastAsia" w:cs="宋体"/>
          <w:noProof/>
          <w:color w:val="3F3F3F"/>
          <w:kern w:val="0"/>
          <w:szCs w:val="21"/>
        </w:rPr>
        <w:drawing>
          <wp:inline distT="0" distB="0" distL="0" distR="0">
            <wp:extent cx="152400" cy="152400"/>
            <wp:effectExtent l="0" t="0" r="0" b="0"/>
            <wp:docPr id="2" name="图片 2" descr="http://www.cpppc.org/thirdparty/ueditor/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cpppc.org/thirdparty/ueditor/dialogs/attachment/fileTypeImages/icon_p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r w:rsidRPr="0034375F">
          <w:rPr>
            <w:rFonts w:asciiTheme="minorEastAsia" w:hAnsiTheme="minorEastAsia" w:cs="宋体" w:hint="eastAsia"/>
            <w:color w:val="4F4F4F"/>
            <w:kern w:val="0"/>
            <w:szCs w:val="21"/>
          </w:rPr>
          <w:t>财预[2016]143号 关于印发《地方预决算公开操作规程》的通知.pdf</w:t>
        </w:r>
      </w:hyperlink>
    </w:p>
    <w:p w:rsidR="0034375F" w:rsidRPr="0034375F" w:rsidRDefault="0034375F" w:rsidP="0034375F">
      <w:pPr>
        <w:widowControl/>
        <w:shd w:val="clear" w:color="auto" w:fill="FFFFFF"/>
        <w:spacing w:before="75" w:after="75"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 </w:t>
      </w:r>
    </w:p>
    <w:p w:rsidR="0034375F" w:rsidRPr="0034375F" w:rsidRDefault="0034375F" w:rsidP="0034375F">
      <w:pPr>
        <w:widowControl/>
        <w:shd w:val="clear" w:color="auto" w:fill="FFFFFF"/>
        <w:spacing w:line="450" w:lineRule="atLeast"/>
        <w:jc w:val="left"/>
        <w:rPr>
          <w:rFonts w:asciiTheme="minorEastAsia" w:hAnsiTheme="minorEastAsia" w:cs="宋体" w:hint="eastAsia"/>
          <w:color w:val="3F3F3F"/>
          <w:kern w:val="0"/>
          <w:szCs w:val="21"/>
        </w:rPr>
      </w:pPr>
      <w:r w:rsidRPr="0034375F">
        <w:rPr>
          <w:rFonts w:asciiTheme="minorEastAsia" w:hAnsiTheme="minorEastAsia" w:cs="宋体" w:hint="eastAsia"/>
          <w:color w:val="3F3F3F"/>
          <w:kern w:val="0"/>
          <w:szCs w:val="21"/>
        </w:rPr>
        <w:t>来源： 财政部</w:t>
      </w:r>
    </w:p>
    <w:p w:rsidR="00AF4269" w:rsidRPr="0034375F" w:rsidRDefault="00AF4269" w:rsidP="0034375F">
      <w:pPr>
        <w:rPr>
          <w:rFonts w:asciiTheme="minorEastAsia" w:hAnsiTheme="minorEastAsia"/>
          <w:szCs w:val="21"/>
        </w:rPr>
      </w:pPr>
    </w:p>
    <w:sectPr w:rsidR="00AF4269" w:rsidRPr="003437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369" w:rsidRDefault="00DB1369" w:rsidP="003A2B6A">
      <w:r>
        <w:separator/>
      </w:r>
    </w:p>
  </w:endnote>
  <w:endnote w:type="continuationSeparator" w:id="0">
    <w:p w:rsidR="00DB1369" w:rsidRDefault="00DB1369" w:rsidP="003A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369" w:rsidRDefault="00DB1369" w:rsidP="003A2B6A">
      <w:r>
        <w:separator/>
      </w:r>
    </w:p>
  </w:footnote>
  <w:footnote w:type="continuationSeparator" w:id="0">
    <w:p w:rsidR="00DB1369" w:rsidRDefault="00DB1369" w:rsidP="003A2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81"/>
    <w:rsid w:val="000246DC"/>
    <w:rsid w:val="001372E6"/>
    <w:rsid w:val="0017066B"/>
    <w:rsid w:val="001C0559"/>
    <w:rsid w:val="0034375F"/>
    <w:rsid w:val="003A2B6A"/>
    <w:rsid w:val="004B37BF"/>
    <w:rsid w:val="005C674A"/>
    <w:rsid w:val="00943281"/>
    <w:rsid w:val="00A30A25"/>
    <w:rsid w:val="00A37B14"/>
    <w:rsid w:val="00AF4269"/>
    <w:rsid w:val="00DB1369"/>
    <w:rsid w:val="00FD0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6E69F-0ADE-4EAE-9D9D-51E3D50A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5C674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C674A"/>
    <w:rPr>
      <w:rFonts w:ascii="宋体" w:eastAsia="宋体" w:hAnsi="宋体" w:cs="宋体"/>
      <w:b/>
      <w:bCs/>
      <w:kern w:val="0"/>
      <w:sz w:val="36"/>
      <w:szCs w:val="36"/>
    </w:rPr>
  </w:style>
  <w:style w:type="character" w:customStyle="1" w:styleId="msg">
    <w:name w:val="msg"/>
    <w:basedOn w:val="a0"/>
    <w:rsid w:val="005C674A"/>
  </w:style>
  <w:style w:type="paragraph" w:styleId="a3">
    <w:name w:val="Normal (Web)"/>
    <w:basedOn w:val="a"/>
    <w:uiPriority w:val="99"/>
    <w:semiHidden/>
    <w:unhideWhenUsed/>
    <w:rsid w:val="005C67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C674A"/>
    <w:rPr>
      <w:b/>
      <w:bCs/>
    </w:rPr>
  </w:style>
  <w:style w:type="paragraph" w:styleId="a5">
    <w:name w:val="header"/>
    <w:basedOn w:val="a"/>
    <w:link w:val="Char"/>
    <w:uiPriority w:val="99"/>
    <w:unhideWhenUsed/>
    <w:rsid w:val="003A2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A2B6A"/>
    <w:rPr>
      <w:sz w:val="18"/>
      <w:szCs w:val="18"/>
    </w:rPr>
  </w:style>
  <w:style w:type="paragraph" w:styleId="a6">
    <w:name w:val="footer"/>
    <w:basedOn w:val="a"/>
    <w:link w:val="Char0"/>
    <w:uiPriority w:val="99"/>
    <w:unhideWhenUsed/>
    <w:rsid w:val="003A2B6A"/>
    <w:pPr>
      <w:tabs>
        <w:tab w:val="center" w:pos="4153"/>
        <w:tab w:val="right" w:pos="8306"/>
      </w:tabs>
      <w:snapToGrid w:val="0"/>
      <w:jc w:val="left"/>
    </w:pPr>
    <w:rPr>
      <w:sz w:val="18"/>
      <w:szCs w:val="18"/>
    </w:rPr>
  </w:style>
  <w:style w:type="character" w:customStyle="1" w:styleId="Char0">
    <w:name w:val="页脚 Char"/>
    <w:basedOn w:val="a0"/>
    <w:link w:val="a6"/>
    <w:uiPriority w:val="99"/>
    <w:rsid w:val="003A2B6A"/>
    <w:rPr>
      <w:sz w:val="18"/>
      <w:szCs w:val="18"/>
    </w:rPr>
  </w:style>
  <w:style w:type="character" w:styleId="a7">
    <w:name w:val="Hyperlink"/>
    <w:basedOn w:val="a0"/>
    <w:uiPriority w:val="99"/>
    <w:semiHidden/>
    <w:unhideWhenUsed/>
    <w:rsid w:val="00137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15227">
      <w:bodyDiv w:val="1"/>
      <w:marLeft w:val="0"/>
      <w:marRight w:val="0"/>
      <w:marTop w:val="0"/>
      <w:marBottom w:val="0"/>
      <w:divBdr>
        <w:top w:val="none" w:sz="0" w:space="0" w:color="auto"/>
        <w:left w:val="none" w:sz="0" w:space="0" w:color="auto"/>
        <w:bottom w:val="none" w:sz="0" w:space="0" w:color="auto"/>
        <w:right w:val="none" w:sz="0" w:space="0" w:color="auto"/>
      </w:divBdr>
      <w:divsChild>
        <w:div w:id="589779724">
          <w:marLeft w:val="0"/>
          <w:marRight w:val="0"/>
          <w:marTop w:val="0"/>
          <w:marBottom w:val="0"/>
          <w:divBdr>
            <w:top w:val="none" w:sz="0" w:space="0" w:color="auto"/>
            <w:left w:val="none" w:sz="0" w:space="0" w:color="auto"/>
            <w:bottom w:val="none" w:sz="0" w:space="0" w:color="auto"/>
            <w:right w:val="none" w:sz="0" w:space="0" w:color="auto"/>
          </w:divBdr>
        </w:div>
        <w:div w:id="477763850">
          <w:marLeft w:val="0"/>
          <w:marRight w:val="0"/>
          <w:marTop w:val="0"/>
          <w:marBottom w:val="0"/>
          <w:divBdr>
            <w:top w:val="none" w:sz="0" w:space="0" w:color="auto"/>
            <w:left w:val="none" w:sz="0" w:space="0" w:color="auto"/>
            <w:bottom w:val="none" w:sz="0" w:space="0" w:color="auto"/>
            <w:right w:val="none" w:sz="0" w:space="0" w:color="auto"/>
          </w:divBdr>
        </w:div>
        <w:div w:id="393746324">
          <w:marLeft w:val="0"/>
          <w:marRight w:val="0"/>
          <w:marTop w:val="75"/>
          <w:marBottom w:val="75"/>
          <w:divBdr>
            <w:top w:val="none" w:sz="0" w:space="0" w:color="auto"/>
            <w:left w:val="none" w:sz="0" w:space="0" w:color="auto"/>
            <w:bottom w:val="none" w:sz="0" w:space="0" w:color="auto"/>
            <w:right w:val="none" w:sz="0" w:space="0" w:color="auto"/>
          </w:divBdr>
        </w:div>
      </w:divsChild>
    </w:div>
    <w:div w:id="456333675">
      <w:bodyDiv w:val="1"/>
      <w:marLeft w:val="0"/>
      <w:marRight w:val="0"/>
      <w:marTop w:val="0"/>
      <w:marBottom w:val="0"/>
      <w:divBdr>
        <w:top w:val="none" w:sz="0" w:space="0" w:color="auto"/>
        <w:left w:val="none" w:sz="0" w:space="0" w:color="auto"/>
        <w:bottom w:val="none" w:sz="0" w:space="0" w:color="auto"/>
        <w:right w:val="none" w:sz="0" w:space="0" w:color="auto"/>
      </w:divBdr>
      <w:divsChild>
        <w:div w:id="1313363767">
          <w:marLeft w:val="0"/>
          <w:marRight w:val="0"/>
          <w:marTop w:val="0"/>
          <w:marBottom w:val="0"/>
          <w:divBdr>
            <w:top w:val="none" w:sz="0" w:space="0" w:color="auto"/>
            <w:left w:val="none" w:sz="0" w:space="0" w:color="auto"/>
            <w:bottom w:val="none" w:sz="0" w:space="0" w:color="auto"/>
            <w:right w:val="none" w:sz="0" w:space="0" w:color="auto"/>
          </w:divBdr>
        </w:div>
        <w:div w:id="2088460633">
          <w:marLeft w:val="0"/>
          <w:marRight w:val="0"/>
          <w:marTop w:val="0"/>
          <w:marBottom w:val="0"/>
          <w:divBdr>
            <w:top w:val="none" w:sz="0" w:space="0" w:color="auto"/>
            <w:left w:val="none" w:sz="0" w:space="0" w:color="auto"/>
            <w:bottom w:val="none" w:sz="0" w:space="0" w:color="auto"/>
            <w:right w:val="none" w:sz="0" w:space="0" w:color="auto"/>
          </w:divBdr>
        </w:div>
        <w:div w:id="863790044">
          <w:marLeft w:val="0"/>
          <w:marRight w:val="0"/>
          <w:marTop w:val="75"/>
          <w:marBottom w:val="75"/>
          <w:divBdr>
            <w:top w:val="none" w:sz="0" w:space="0" w:color="auto"/>
            <w:left w:val="none" w:sz="0" w:space="0" w:color="auto"/>
            <w:bottom w:val="none" w:sz="0" w:space="0" w:color="auto"/>
            <w:right w:val="none" w:sz="0" w:space="0" w:color="auto"/>
          </w:divBdr>
        </w:div>
      </w:divsChild>
    </w:div>
    <w:div w:id="688218333">
      <w:bodyDiv w:val="1"/>
      <w:marLeft w:val="0"/>
      <w:marRight w:val="0"/>
      <w:marTop w:val="0"/>
      <w:marBottom w:val="0"/>
      <w:divBdr>
        <w:top w:val="none" w:sz="0" w:space="0" w:color="auto"/>
        <w:left w:val="none" w:sz="0" w:space="0" w:color="auto"/>
        <w:bottom w:val="none" w:sz="0" w:space="0" w:color="auto"/>
        <w:right w:val="none" w:sz="0" w:space="0" w:color="auto"/>
      </w:divBdr>
      <w:divsChild>
        <w:div w:id="1714184163">
          <w:marLeft w:val="0"/>
          <w:marRight w:val="0"/>
          <w:marTop w:val="0"/>
          <w:marBottom w:val="0"/>
          <w:divBdr>
            <w:top w:val="none" w:sz="0" w:space="0" w:color="auto"/>
            <w:left w:val="none" w:sz="0" w:space="0" w:color="auto"/>
            <w:bottom w:val="none" w:sz="0" w:space="0" w:color="auto"/>
            <w:right w:val="none" w:sz="0" w:space="0" w:color="auto"/>
          </w:divBdr>
        </w:div>
        <w:div w:id="567031792">
          <w:marLeft w:val="0"/>
          <w:marRight w:val="0"/>
          <w:marTop w:val="0"/>
          <w:marBottom w:val="0"/>
          <w:divBdr>
            <w:top w:val="none" w:sz="0" w:space="0" w:color="auto"/>
            <w:left w:val="none" w:sz="0" w:space="0" w:color="auto"/>
            <w:bottom w:val="none" w:sz="0" w:space="0" w:color="auto"/>
            <w:right w:val="none" w:sz="0" w:space="0" w:color="auto"/>
          </w:divBdr>
        </w:div>
        <w:div w:id="431976357">
          <w:marLeft w:val="0"/>
          <w:marRight w:val="0"/>
          <w:marTop w:val="75"/>
          <w:marBottom w:val="75"/>
          <w:divBdr>
            <w:top w:val="none" w:sz="0" w:space="0" w:color="auto"/>
            <w:left w:val="none" w:sz="0" w:space="0" w:color="auto"/>
            <w:bottom w:val="none" w:sz="0" w:space="0" w:color="auto"/>
            <w:right w:val="none" w:sz="0" w:space="0" w:color="auto"/>
          </w:divBdr>
        </w:div>
      </w:divsChild>
    </w:div>
    <w:div w:id="855926494">
      <w:bodyDiv w:val="1"/>
      <w:marLeft w:val="0"/>
      <w:marRight w:val="0"/>
      <w:marTop w:val="0"/>
      <w:marBottom w:val="0"/>
      <w:divBdr>
        <w:top w:val="none" w:sz="0" w:space="0" w:color="auto"/>
        <w:left w:val="none" w:sz="0" w:space="0" w:color="auto"/>
        <w:bottom w:val="none" w:sz="0" w:space="0" w:color="auto"/>
        <w:right w:val="none" w:sz="0" w:space="0" w:color="auto"/>
      </w:divBdr>
      <w:divsChild>
        <w:div w:id="1820656787">
          <w:marLeft w:val="0"/>
          <w:marRight w:val="0"/>
          <w:marTop w:val="0"/>
          <w:marBottom w:val="0"/>
          <w:divBdr>
            <w:top w:val="none" w:sz="0" w:space="0" w:color="auto"/>
            <w:left w:val="none" w:sz="0" w:space="0" w:color="auto"/>
            <w:bottom w:val="none" w:sz="0" w:space="0" w:color="auto"/>
            <w:right w:val="none" w:sz="0" w:space="0" w:color="auto"/>
          </w:divBdr>
        </w:div>
        <w:div w:id="1911576046">
          <w:marLeft w:val="0"/>
          <w:marRight w:val="0"/>
          <w:marTop w:val="0"/>
          <w:marBottom w:val="0"/>
          <w:divBdr>
            <w:top w:val="none" w:sz="0" w:space="0" w:color="auto"/>
            <w:left w:val="none" w:sz="0" w:space="0" w:color="auto"/>
            <w:bottom w:val="none" w:sz="0" w:space="0" w:color="auto"/>
            <w:right w:val="none" w:sz="0" w:space="0" w:color="auto"/>
          </w:divBdr>
        </w:div>
        <w:div w:id="489372664">
          <w:marLeft w:val="0"/>
          <w:marRight w:val="0"/>
          <w:marTop w:val="75"/>
          <w:marBottom w:val="75"/>
          <w:divBdr>
            <w:top w:val="none" w:sz="0" w:space="0" w:color="auto"/>
            <w:left w:val="none" w:sz="0" w:space="0" w:color="auto"/>
            <w:bottom w:val="none" w:sz="0" w:space="0" w:color="auto"/>
            <w:right w:val="none" w:sz="0" w:space="0" w:color="auto"/>
          </w:divBdr>
        </w:div>
      </w:divsChild>
    </w:div>
    <w:div w:id="879513498">
      <w:bodyDiv w:val="1"/>
      <w:marLeft w:val="0"/>
      <w:marRight w:val="0"/>
      <w:marTop w:val="0"/>
      <w:marBottom w:val="0"/>
      <w:divBdr>
        <w:top w:val="none" w:sz="0" w:space="0" w:color="auto"/>
        <w:left w:val="none" w:sz="0" w:space="0" w:color="auto"/>
        <w:bottom w:val="none" w:sz="0" w:space="0" w:color="auto"/>
        <w:right w:val="none" w:sz="0" w:space="0" w:color="auto"/>
      </w:divBdr>
      <w:divsChild>
        <w:div w:id="514152531">
          <w:marLeft w:val="0"/>
          <w:marRight w:val="0"/>
          <w:marTop w:val="0"/>
          <w:marBottom w:val="0"/>
          <w:divBdr>
            <w:top w:val="none" w:sz="0" w:space="0" w:color="auto"/>
            <w:left w:val="none" w:sz="0" w:space="0" w:color="auto"/>
            <w:bottom w:val="none" w:sz="0" w:space="0" w:color="auto"/>
            <w:right w:val="none" w:sz="0" w:space="0" w:color="auto"/>
          </w:divBdr>
        </w:div>
        <w:div w:id="256141273">
          <w:marLeft w:val="0"/>
          <w:marRight w:val="0"/>
          <w:marTop w:val="0"/>
          <w:marBottom w:val="0"/>
          <w:divBdr>
            <w:top w:val="none" w:sz="0" w:space="0" w:color="auto"/>
            <w:left w:val="none" w:sz="0" w:space="0" w:color="auto"/>
            <w:bottom w:val="none" w:sz="0" w:space="0" w:color="auto"/>
            <w:right w:val="none" w:sz="0" w:space="0" w:color="auto"/>
          </w:divBdr>
        </w:div>
        <w:div w:id="192573539">
          <w:marLeft w:val="0"/>
          <w:marRight w:val="0"/>
          <w:marTop w:val="75"/>
          <w:marBottom w:val="75"/>
          <w:divBdr>
            <w:top w:val="none" w:sz="0" w:space="0" w:color="auto"/>
            <w:left w:val="none" w:sz="0" w:space="0" w:color="auto"/>
            <w:bottom w:val="none" w:sz="0" w:space="0" w:color="auto"/>
            <w:right w:val="none" w:sz="0" w:space="0" w:color="auto"/>
          </w:divBdr>
        </w:div>
      </w:divsChild>
    </w:div>
    <w:div w:id="915282788">
      <w:bodyDiv w:val="1"/>
      <w:marLeft w:val="0"/>
      <w:marRight w:val="0"/>
      <w:marTop w:val="0"/>
      <w:marBottom w:val="0"/>
      <w:divBdr>
        <w:top w:val="none" w:sz="0" w:space="0" w:color="auto"/>
        <w:left w:val="none" w:sz="0" w:space="0" w:color="auto"/>
        <w:bottom w:val="none" w:sz="0" w:space="0" w:color="auto"/>
        <w:right w:val="none" w:sz="0" w:space="0" w:color="auto"/>
      </w:divBdr>
      <w:divsChild>
        <w:div w:id="1711418732">
          <w:marLeft w:val="0"/>
          <w:marRight w:val="0"/>
          <w:marTop w:val="0"/>
          <w:marBottom w:val="0"/>
          <w:divBdr>
            <w:top w:val="none" w:sz="0" w:space="0" w:color="auto"/>
            <w:left w:val="none" w:sz="0" w:space="0" w:color="auto"/>
            <w:bottom w:val="none" w:sz="0" w:space="0" w:color="auto"/>
            <w:right w:val="none" w:sz="0" w:space="0" w:color="auto"/>
          </w:divBdr>
        </w:div>
        <w:div w:id="414473266">
          <w:marLeft w:val="0"/>
          <w:marRight w:val="0"/>
          <w:marTop w:val="0"/>
          <w:marBottom w:val="0"/>
          <w:divBdr>
            <w:top w:val="none" w:sz="0" w:space="0" w:color="auto"/>
            <w:left w:val="none" w:sz="0" w:space="0" w:color="auto"/>
            <w:bottom w:val="none" w:sz="0" w:space="0" w:color="auto"/>
            <w:right w:val="none" w:sz="0" w:space="0" w:color="auto"/>
          </w:divBdr>
        </w:div>
        <w:div w:id="7297709">
          <w:marLeft w:val="0"/>
          <w:marRight w:val="0"/>
          <w:marTop w:val="75"/>
          <w:marBottom w:val="75"/>
          <w:divBdr>
            <w:top w:val="none" w:sz="0" w:space="0" w:color="auto"/>
            <w:left w:val="none" w:sz="0" w:space="0" w:color="auto"/>
            <w:bottom w:val="none" w:sz="0" w:space="0" w:color="auto"/>
            <w:right w:val="none" w:sz="0" w:space="0" w:color="auto"/>
          </w:divBdr>
        </w:div>
      </w:divsChild>
    </w:div>
    <w:div w:id="1367372664">
      <w:bodyDiv w:val="1"/>
      <w:marLeft w:val="0"/>
      <w:marRight w:val="0"/>
      <w:marTop w:val="0"/>
      <w:marBottom w:val="0"/>
      <w:divBdr>
        <w:top w:val="none" w:sz="0" w:space="0" w:color="auto"/>
        <w:left w:val="none" w:sz="0" w:space="0" w:color="auto"/>
        <w:bottom w:val="none" w:sz="0" w:space="0" w:color="auto"/>
        <w:right w:val="none" w:sz="0" w:space="0" w:color="auto"/>
      </w:divBdr>
      <w:divsChild>
        <w:div w:id="736778344">
          <w:marLeft w:val="0"/>
          <w:marRight w:val="0"/>
          <w:marTop w:val="0"/>
          <w:marBottom w:val="0"/>
          <w:divBdr>
            <w:top w:val="none" w:sz="0" w:space="0" w:color="auto"/>
            <w:left w:val="none" w:sz="0" w:space="0" w:color="auto"/>
            <w:bottom w:val="none" w:sz="0" w:space="0" w:color="auto"/>
            <w:right w:val="none" w:sz="0" w:space="0" w:color="auto"/>
          </w:divBdr>
        </w:div>
        <w:div w:id="491795827">
          <w:marLeft w:val="0"/>
          <w:marRight w:val="0"/>
          <w:marTop w:val="0"/>
          <w:marBottom w:val="0"/>
          <w:divBdr>
            <w:top w:val="none" w:sz="0" w:space="0" w:color="auto"/>
            <w:left w:val="none" w:sz="0" w:space="0" w:color="auto"/>
            <w:bottom w:val="none" w:sz="0" w:space="0" w:color="auto"/>
            <w:right w:val="none" w:sz="0" w:space="0" w:color="auto"/>
          </w:divBdr>
        </w:div>
        <w:div w:id="340595659">
          <w:marLeft w:val="0"/>
          <w:marRight w:val="0"/>
          <w:marTop w:val="75"/>
          <w:marBottom w:val="75"/>
          <w:divBdr>
            <w:top w:val="none" w:sz="0" w:space="0" w:color="auto"/>
            <w:left w:val="none" w:sz="0" w:space="0" w:color="auto"/>
            <w:bottom w:val="none" w:sz="0" w:space="0" w:color="auto"/>
            <w:right w:val="none" w:sz="0" w:space="0" w:color="auto"/>
          </w:divBdr>
        </w:div>
      </w:divsChild>
    </w:div>
    <w:div w:id="1403522428">
      <w:bodyDiv w:val="1"/>
      <w:marLeft w:val="0"/>
      <w:marRight w:val="0"/>
      <w:marTop w:val="0"/>
      <w:marBottom w:val="0"/>
      <w:divBdr>
        <w:top w:val="none" w:sz="0" w:space="0" w:color="auto"/>
        <w:left w:val="none" w:sz="0" w:space="0" w:color="auto"/>
        <w:bottom w:val="none" w:sz="0" w:space="0" w:color="auto"/>
        <w:right w:val="none" w:sz="0" w:space="0" w:color="auto"/>
      </w:divBdr>
      <w:divsChild>
        <w:div w:id="1458530522">
          <w:marLeft w:val="0"/>
          <w:marRight w:val="0"/>
          <w:marTop w:val="0"/>
          <w:marBottom w:val="0"/>
          <w:divBdr>
            <w:top w:val="none" w:sz="0" w:space="0" w:color="auto"/>
            <w:left w:val="none" w:sz="0" w:space="0" w:color="auto"/>
            <w:bottom w:val="none" w:sz="0" w:space="0" w:color="auto"/>
            <w:right w:val="none" w:sz="0" w:space="0" w:color="auto"/>
          </w:divBdr>
        </w:div>
        <w:div w:id="359355644">
          <w:marLeft w:val="0"/>
          <w:marRight w:val="0"/>
          <w:marTop w:val="0"/>
          <w:marBottom w:val="0"/>
          <w:divBdr>
            <w:top w:val="none" w:sz="0" w:space="0" w:color="auto"/>
            <w:left w:val="none" w:sz="0" w:space="0" w:color="auto"/>
            <w:bottom w:val="none" w:sz="0" w:space="0" w:color="auto"/>
            <w:right w:val="none" w:sz="0" w:space="0" w:color="auto"/>
          </w:divBdr>
        </w:div>
        <w:div w:id="1469321599">
          <w:marLeft w:val="0"/>
          <w:marRight w:val="0"/>
          <w:marTop w:val="75"/>
          <w:marBottom w:val="75"/>
          <w:divBdr>
            <w:top w:val="none" w:sz="0" w:space="0" w:color="auto"/>
            <w:left w:val="none" w:sz="0" w:space="0" w:color="auto"/>
            <w:bottom w:val="none" w:sz="0" w:space="0" w:color="auto"/>
            <w:right w:val="none" w:sz="0" w:space="0" w:color="auto"/>
          </w:divBdr>
        </w:div>
      </w:divsChild>
    </w:div>
    <w:div w:id="1871916565">
      <w:bodyDiv w:val="1"/>
      <w:marLeft w:val="0"/>
      <w:marRight w:val="0"/>
      <w:marTop w:val="0"/>
      <w:marBottom w:val="0"/>
      <w:divBdr>
        <w:top w:val="none" w:sz="0" w:space="0" w:color="auto"/>
        <w:left w:val="none" w:sz="0" w:space="0" w:color="auto"/>
        <w:bottom w:val="none" w:sz="0" w:space="0" w:color="auto"/>
        <w:right w:val="none" w:sz="0" w:space="0" w:color="auto"/>
      </w:divBdr>
      <w:divsChild>
        <w:div w:id="381486701">
          <w:marLeft w:val="0"/>
          <w:marRight w:val="0"/>
          <w:marTop w:val="0"/>
          <w:marBottom w:val="0"/>
          <w:divBdr>
            <w:top w:val="none" w:sz="0" w:space="0" w:color="auto"/>
            <w:left w:val="none" w:sz="0" w:space="0" w:color="auto"/>
            <w:bottom w:val="none" w:sz="0" w:space="0" w:color="auto"/>
            <w:right w:val="none" w:sz="0" w:space="0" w:color="auto"/>
          </w:divBdr>
        </w:div>
        <w:div w:id="491144858">
          <w:marLeft w:val="0"/>
          <w:marRight w:val="0"/>
          <w:marTop w:val="0"/>
          <w:marBottom w:val="0"/>
          <w:divBdr>
            <w:top w:val="none" w:sz="0" w:space="0" w:color="auto"/>
            <w:left w:val="none" w:sz="0" w:space="0" w:color="auto"/>
            <w:bottom w:val="none" w:sz="0" w:space="0" w:color="auto"/>
            <w:right w:val="none" w:sz="0" w:space="0" w:color="auto"/>
          </w:divBdr>
        </w:div>
        <w:div w:id="482043040">
          <w:marLeft w:val="0"/>
          <w:marRight w:val="0"/>
          <w:marTop w:val="75"/>
          <w:marBottom w:val="75"/>
          <w:divBdr>
            <w:top w:val="none" w:sz="0" w:space="0" w:color="auto"/>
            <w:left w:val="none" w:sz="0" w:space="0" w:color="auto"/>
            <w:bottom w:val="none" w:sz="0" w:space="0" w:color="auto"/>
            <w:right w:val="none" w:sz="0" w:space="0" w:color="auto"/>
          </w:divBdr>
        </w:div>
      </w:divsChild>
    </w:div>
    <w:div w:id="1968661092">
      <w:bodyDiv w:val="1"/>
      <w:marLeft w:val="0"/>
      <w:marRight w:val="0"/>
      <w:marTop w:val="0"/>
      <w:marBottom w:val="0"/>
      <w:divBdr>
        <w:top w:val="none" w:sz="0" w:space="0" w:color="auto"/>
        <w:left w:val="none" w:sz="0" w:space="0" w:color="auto"/>
        <w:bottom w:val="none" w:sz="0" w:space="0" w:color="auto"/>
        <w:right w:val="none" w:sz="0" w:space="0" w:color="auto"/>
      </w:divBdr>
      <w:divsChild>
        <w:div w:id="314573544">
          <w:marLeft w:val="0"/>
          <w:marRight w:val="0"/>
          <w:marTop w:val="0"/>
          <w:marBottom w:val="0"/>
          <w:divBdr>
            <w:top w:val="none" w:sz="0" w:space="0" w:color="auto"/>
            <w:left w:val="none" w:sz="0" w:space="0" w:color="auto"/>
            <w:bottom w:val="none" w:sz="0" w:space="0" w:color="auto"/>
            <w:right w:val="none" w:sz="0" w:space="0" w:color="auto"/>
          </w:divBdr>
        </w:div>
        <w:div w:id="425153325">
          <w:marLeft w:val="0"/>
          <w:marRight w:val="0"/>
          <w:marTop w:val="0"/>
          <w:marBottom w:val="0"/>
          <w:divBdr>
            <w:top w:val="none" w:sz="0" w:space="0" w:color="auto"/>
            <w:left w:val="none" w:sz="0" w:space="0" w:color="auto"/>
            <w:bottom w:val="none" w:sz="0" w:space="0" w:color="auto"/>
            <w:right w:val="none" w:sz="0" w:space="0" w:color="auto"/>
          </w:divBdr>
        </w:div>
        <w:div w:id="376857483">
          <w:marLeft w:val="0"/>
          <w:marRight w:val="0"/>
          <w:marTop w:val="75"/>
          <w:marBottom w:val="75"/>
          <w:divBdr>
            <w:top w:val="none" w:sz="0" w:space="0" w:color="auto"/>
            <w:left w:val="none" w:sz="0" w:space="0" w:color="auto"/>
            <w:bottom w:val="none" w:sz="0" w:space="0" w:color="auto"/>
            <w:right w:val="none" w:sz="0" w:space="0" w:color="auto"/>
          </w:divBdr>
        </w:div>
      </w:divsChild>
    </w:div>
    <w:div w:id="1995379003">
      <w:bodyDiv w:val="1"/>
      <w:marLeft w:val="0"/>
      <w:marRight w:val="0"/>
      <w:marTop w:val="0"/>
      <w:marBottom w:val="0"/>
      <w:divBdr>
        <w:top w:val="none" w:sz="0" w:space="0" w:color="auto"/>
        <w:left w:val="none" w:sz="0" w:space="0" w:color="auto"/>
        <w:bottom w:val="none" w:sz="0" w:space="0" w:color="auto"/>
        <w:right w:val="none" w:sz="0" w:space="0" w:color="auto"/>
      </w:divBdr>
      <w:divsChild>
        <w:div w:id="302850350">
          <w:marLeft w:val="0"/>
          <w:marRight w:val="0"/>
          <w:marTop w:val="0"/>
          <w:marBottom w:val="0"/>
          <w:divBdr>
            <w:top w:val="none" w:sz="0" w:space="0" w:color="auto"/>
            <w:left w:val="none" w:sz="0" w:space="0" w:color="auto"/>
            <w:bottom w:val="none" w:sz="0" w:space="0" w:color="auto"/>
            <w:right w:val="none" w:sz="0" w:space="0" w:color="auto"/>
          </w:divBdr>
        </w:div>
        <w:div w:id="14232983">
          <w:marLeft w:val="0"/>
          <w:marRight w:val="0"/>
          <w:marTop w:val="0"/>
          <w:marBottom w:val="0"/>
          <w:divBdr>
            <w:top w:val="none" w:sz="0" w:space="0" w:color="auto"/>
            <w:left w:val="none" w:sz="0" w:space="0" w:color="auto"/>
            <w:bottom w:val="none" w:sz="0" w:space="0" w:color="auto"/>
            <w:right w:val="none" w:sz="0" w:space="0" w:color="auto"/>
          </w:divBdr>
        </w:div>
        <w:div w:id="25751880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pppc.org/u/cms/ppp/201611/221842179k0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2017-02-20T05:21:00Z</dcterms:created>
  <dcterms:modified xsi:type="dcterms:W3CDTF">2017-02-20T05:21:00Z</dcterms:modified>
</cp:coreProperties>
</file>