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32" w:rsidRPr="00A06132" w:rsidRDefault="00A06132" w:rsidP="00A06132">
      <w:pPr>
        <w:widowControl/>
        <w:jc w:val="center"/>
        <w:rPr>
          <w:rFonts w:asciiTheme="minorEastAsia" w:hAnsiTheme="minorEastAsia" w:cs="宋体"/>
          <w:b/>
          <w:color w:val="000000"/>
          <w:kern w:val="0"/>
          <w:szCs w:val="21"/>
        </w:rPr>
      </w:pPr>
      <w:bookmarkStart w:id="0" w:name="_GoBack"/>
      <w:r w:rsidRPr="00A06132">
        <w:rPr>
          <w:rFonts w:asciiTheme="minorEastAsia" w:hAnsiTheme="minorEastAsia" w:cs="宋体" w:hint="eastAsia"/>
          <w:b/>
          <w:color w:val="000000"/>
          <w:kern w:val="0"/>
          <w:szCs w:val="21"/>
        </w:rPr>
        <w:t>中国银监会关于银行业风险防控工作的指导意见（银监发〔2017〕6号）</w:t>
      </w:r>
    </w:p>
    <w:bookmarkEnd w:id="0"/>
    <w:p w:rsidR="003B48F8" w:rsidRPr="00A06132" w:rsidRDefault="003B48F8" w:rsidP="00304F63">
      <w:pPr>
        <w:spacing w:line="360" w:lineRule="auto"/>
        <w:rPr>
          <w:rFonts w:asciiTheme="minorEastAsia" w:hAnsiTheme="minorEastAsia" w:cs="宋体"/>
          <w:b/>
          <w:color w:val="000000"/>
          <w:kern w:val="0"/>
          <w:szCs w:val="21"/>
        </w:rPr>
      </w:pPr>
    </w:p>
    <w:p w:rsidR="00A06132" w:rsidRPr="00A06132" w:rsidRDefault="00A06132" w:rsidP="00A06132">
      <w:pPr>
        <w:widowControl/>
        <w:shd w:val="clear" w:color="auto" w:fill="FFFFFF"/>
        <w:spacing w:after="450" w:line="480" w:lineRule="atLeast"/>
        <w:jc w:val="center"/>
        <w:rPr>
          <w:rFonts w:asciiTheme="minorEastAsia" w:hAnsiTheme="minorEastAsia" w:cs="宋体"/>
          <w:color w:val="000000"/>
          <w:kern w:val="0"/>
          <w:szCs w:val="21"/>
        </w:rPr>
      </w:pPr>
      <w:r w:rsidRPr="00A06132">
        <w:rPr>
          <w:rFonts w:asciiTheme="minorEastAsia" w:hAnsiTheme="minorEastAsia" w:cs="宋体" w:hint="eastAsia"/>
          <w:color w:val="000000"/>
          <w:kern w:val="0"/>
          <w:szCs w:val="21"/>
        </w:rPr>
        <w:t>银监发〔2017〕6号</w:t>
      </w:r>
    </w:p>
    <w:p w:rsidR="00A06132" w:rsidRPr="00A06132" w:rsidRDefault="00A06132" w:rsidP="00A06132">
      <w:pPr>
        <w:widowControl/>
        <w:shd w:val="clear" w:color="auto" w:fill="FFFFFF"/>
        <w:spacing w:after="450" w:line="480" w:lineRule="atLeast"/>
        <w:jc w:val="left"/>
        <w:rPr>
          <w:rFonts w:asciiTheme="minorEastAsia" w:hAnsiTheme="minorEastAsia" w:cs="宋体" w:hint="eastAsia"/>
          <w:color w:val="000000"/>
          <w:kern w:val="0"/>
          <w:szCs w:val="21"/>
        </w:rPr>
      </w:pPr>
      <w:proofErr w:type="gramStart"/>
      <w:r w:rsidRPr="00A06132">
        <w:rPr>
          <w:rFonts w:asciiTheme="minorEastAsia" w:hAnsiTheme="minorEastAsia" w:cs="宋体" w:hint="eastAsia"/>
          <w:color w:val="000000"/>
          <w:kern w:val="0"/>
          <w:szCs w:val="21"/>
        </w:rPr>
        <w:t>各银监</w:t>
      </w:r>
      <w:proofErr w:type="gramEnd"/>
      <w:r w:rsidRPr="00A06132">
        <w:rPr>
          <w:rFonts w:asciiTheme="minorEastAsia" w:hAnsiTheme="minorEastAsia" w:cs="宋体" w:hint="eastAsia"/>
          <w:color w:val="000000"/>
          <w:kern w:val="0"/>
          <w:szCs w:val="21"/>
        </w:rPr>
        <w:t>局，机关各部门，各政策性银行、大型银行、股份制银行，邮储银行，外资银行，金融资产管理公司，其他会管金融机构：</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为贯彻落实中央经济工作会议“把防控金融风险放到更加重要的位置”总体要求，银行业应坚持底线思维、分类施策、稳妥推进、标本兼治，切实防范化解突出风险，严守不发生系统性风险底线。现就银行业风险防控工作提出以下指导意见。</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一、加强信用风险管控，维护资产质量总体稳定</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一）摸清风险底数。银行业金融机构要严格落实信贷及类信贷资产的分类标准和操作流程，真实、准确和动态地反映资产风险状况；建立健全信用风险预警体系，密切监测分析重点领域信用风险的生成和迁徙变化情况，定期开展信用风险压力测试。各级监管机构要重点关注逾期90天以上贷款与不良贷款比例超过100%、关注类贷款</w:t>
      </w:r>
      <w:proofErr w:type="gramStart"/>
      <w:r w:rsidRPr="00A06132">
        <w:rPr>
          <w:rFonts w:asciiTheme="minorEastAsia" w:hAnsiTheme="minorEastAsia" w:cs="宋体" w:hint="eastAsia"/>
          <w:color w:val="000000"/>
          <w:kern w:val="0"/>
          <w:szCs w:val="21"/>
        </w:rPr>
        <w:t>占比较</w:t>
      </w:r>
      <w:proofErr w:type="gramEnd"/>
      <w:r w:rsidRPr="00A06132">
        <w:rPr>
          <w:rFonts w:asciiTheme="minorEastAsia" w:hAnsiTheme="minorEastAsia" w:cs="宋体" w:hint="eastAsia"/>
          <w:color w:val="000000"/>
          <w:kern w:val="0"/>
          <w:szCs w:val="21"/>
        </w:rPr>
        <w:t>高或增长较快、类信贷及表外资产增长过快的银行业金融机构，重点治理资产风险分类不准确、通过各种手段隐匿或转移不良贷款的行为。</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（二）严控增量风险。银行业金融机构要加强统一授信、统一管理，严格不同层级的审批权限；加强授信风险审查，有效</w:t>
      </w:r>
      <w:proofErr w:type="gramStart"/>
      <w:r w:rsidRPr="00A06132">
        <w:rPr>
          <w:rFonts w:asciiTheme="minorEastAsia" w:hAnsiTheme="minorEastAsia" w:cs="宋体" w:hint="eastAsia"/>
          <w:color w:val="000000"/>
          <w:kern w:val="0"/>
          <w:szCs w:val="21"/>
        </w:rPr>
        <w:t>甄别高</w:t>
      </w:r>
      <w:proofErr w:type="gramEnd"/>
      <w:r w:rsidRPr="00A06132">
        <w:rPr>
          <w:rFonts w:asciiTheme="minorEastAsia" w:hAnsiTheme="minorEastAsia" w:cs="宋体" w:hint="eastAsia"/>
          <w:color w:val="000000"/>
          <w:kern w:val="0"/>
          <w:szCs w:val="21"/>
        </w:rPr>
        <w:t>风险客户，防范多头授信、过度授信、给“僵尸企业”授信、给“空壳企业”授信、财务欺诈等风险。各级监管机构要重点治理放松授信条件、放松风险管理、贷款“三查”不到位等问题，对辖内银行业金融机构新发生的大额不良贷款暴露，要及时进行跟踪调查。</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处置存量风险。银行业金融机构要综合运用重组、转让、追偿、核销等手段加快处置存量不良资产，通过追加担保、债务重组、资产置换等措施缓释潜在风险；通过解包还原、置换担保、救助核心企业、联合授信管理等方式，妥善化解担保圈风险；利用债</w:t>
      </w:r>
      <w:r w:rsidRPr="00A06132">
        <w:rPr>
          <w:rFonts w:asciiTheme="minorEastAsia" w:hAnsiTheme="minorEastAsia" w:cs="宋体" w:hint="eastAsia"/>
          <w:color w:val="000000"/>
          <w:kern w:val="0"/>
          <w:szCs w:val="21"/>
        </w:rPr>
        <w:lastRenderedPageBreak/>
        <w:t>权人委员会机制，按照“</w:t>
      </w:r>
      <w:proofErr w:type="gramStart"/>
      <w:r w:rsidRPr="00A06132">
        <w:rPr>
          <w:rFonts w:asciiTheme="minorEastAsia" w:hAnsiTheme="minorEastAsia" w:cs="宋体" w:hint="eastAsia"/>
          <w:color w:val="000000"/>
          <w:kern w:val="0"/>
          <w:szCs w:val="21"/>
        </w:rPr>
        <w:t>一</w:t>
      </w:r>
      <w:proofErr w:type="gramEnd"/>
      <w:r w:rsidRPr="00A06132">
        <w:rPr>
          <w:rFonts w:asciiTheme="minorEastAsia" w:hAnsiTheme="minorEastAsia" w:cs="宋体" w:hint="eastAsia"/>
          <w:color w:val="000000"/>
          <w:kern w:val="0"/>
          <w:szCs w:val="21"/>
        </w:rPr>
        <w:t>企</w:t>
      </w:r>
      <w:proofErr w:type="gramStart"/>
      <w:r w:rsidRPr="00A06132">
        <w:rPr>
          <w:rFonts w:asciiTheme="minorEastAsia" w:hAnsiTheme="minorEastAsia" w:cs="宋体" w:hint="eastAsia"/>
          <w:color w:val="000000"/>
          <w:kern w:val="0"/>
          <w:szCs w:val="21"/>
        </w:rPr>
        <w:t>一</w:t>
      </w:r>
      <w:proofErr w:type="gramEnd"/>
      <w:r w:rsidRPr="00A06132">
        <w:rPr>
          <w:rFonts w:asciiTheme="minorEastAsia" w:hAnsiTheme="minorEastAsia" w:cs="宋体" w:hint="eastAsia"/>
          <w:color w:val="000000"/>
          <w:kern w:val="0"/>
          <w:szCs w:val="21"/>
        </w:rPr>
        <w:t>策”原则制定风险处置计划；加强债权维护，切实遏制逃废债行为。</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四）提升风险缓释能力。银行业金融机构要加强资产质量迁徙趋势分析，增加利润留存，及时足额计提资产减值准备，增强风险缓释能力。各级监管机构要对银行业金融机构采取风险缓释措施有效性进行跟踪评估，对风险抵补能力不足的机构，应督促其限期整改；要引导银行业金融机构通过上市融资、增资扩股、发行新型资本工具等措施，提高损失吸收能力。</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二、完善流动性风险治理体系，提升流动性风险管控能力</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五）加强风险监测。银行业金融机构要完善流动性风险治理架构，将同业业务、投资业务、托管业务、理财业务等纳入流动性风险监测范围，制定合理的流动性限额和管理方案；提高对重点分支机构、币种和业务领域的关注强度，采取有效措施降低对同业存单等同业融资的依赖度。</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六）加强重点机构管控。各级监管机构要锁定资金来源与运用明显错配、批发性融资占比高的银行业金融机构，实行“一对一”贴身盯防。督促同业存单增速较快、同业存单占同业负债比例较高的银行，合理控制同业存单等同业融资规模。</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（七）创新风险防控手段。探索试点城商行、农商行流动性互助机制，发挥好信托</w:t>
      </w:r>
      <w:proofErr w:type="gramStart"/>
      <w:r w:rsidRPr="00A06132">
        <w:rPr>
          <w:rFonts w:asciiTheme="minorEastAsia" w:hAnsiTheme="minorEastAsia" w:cs="宋体" w:hint="eastAsia"/>
          <w:color w:val="000000"/>
          <w:kern w:val="0"/>
          <w:szCs w:val="21"/>
        </w:rPr>
        <w:t>业保障</w:t>
      </w:r>
      <w:proofErr w:type="gramEnd"/>
      <w:r w:rsidRPr="00A06132">
        <w:rPr>
          <w:rFonts w:asciiTheme="minorEastAsia" w:hAnsiTheme="minorEastAsia" w:cs="宋体" w:hint="eastAsia"/>
          <w:color w:val="000000"/>
          <w:kern w:val="0"/>
          <w:szCs w:val="21"/>
        </w:rPr>
        <w:t>基金作用，构筑中小银行业金融机构流动性安全网。</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八）提升应急管理能力。银行业金融机构要加强负债稳定性管理，确保负债总量适度、来源稳定、结构多元、期限匹配；完善流动性风险应对预案，定期开展流动性风险压力测试；加强向央行的报告沟通，运用“临时流动性便利”等工具，满足流动性需求。</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三、加强债券投资业务管理，密切关注债券市场波动</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lastRenderedPageBreak/>
        <w:t>（九）健全债券交易内控制度。银行业金融机构要建立贯穿债券交易各环节、覆盖全流程的内控体系，加强债券交易的合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性审查和风险控制。坚持“穿透管理”和“实质重于形式”的原则，将债券投资纳入统一授信。</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强化业务集中管理。银行业金融机构应将直接债券投资以及通过特殊目的载体（SPV）、表外理财等方式开展的债券投资纳入统一监测范围，全面掌握资金真实投向和底层债券资产的基本信息、风险状况、交易变动等情况，实现准入集中、数据集中和退出集中管理。</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（十一）严格控制投资杠杆。银行业金融机构要审慎开展委外投资业务，</w:t>
      </w:r>
      <w:proofErr w:type="gramStart"/>
      <w:r w:rsidRPr="00A06132">
        <w:rPr>
          <w:rFonts w:asciiTheme="minorEastAsia" w:hAnsiTheme="minorEastAsia" w:cs="宋体" w:hint="eastAsia"/>
          <w:color w:val="000000"/>
          <w:kern w:val="0"/>
          <w:szCs w:val="21"/>
        </w:rPr>
        <w:t>严格委</w:t>
      </w:r>
      <w:proofErr w:type="gramEnd"/>
      <w:r w:rsidRPr="00A06132">
        <w:rPr>
          <w:rFonts w:asciiTheme="minorEastAsia" w:hAnsiTheme="minorEastAsia" w:cs="宋体" w:hint="eastAsia"/>
          <w:color w:val="000000"/>
          <w:kern w:val="0"/>
          <w:szCs w:val="21"/>
        </w:rPr>
        <w:t>外机构审查和名单管理，</w:t>
      </w:r>
      <w:proofErr w:type="gramStart"/>
      <w:r w:rsidRPr="00A06132">
        <w:rPr>
          <w:rFonts w:asciiTheme="minorEastAsia" w:hAnsiTheme="minorEastAsia" w:cs="宋体" w:hint="eastAsia"/>
          <w:color w:val="000000"/>
          <w:kern w:val="0"/>
          <w:szCs w:val="21"/>
        </w:rPr>
        <w:t>明确委</w:t>
      </w:r>
      <w:proofErr w:type="gramEnd"/>
      <w:r w:rsidRPr="00A06132">
        <w:rPr>
          <w:rFonts w:asciiTheme="minorEastAsia" w:hAnsiTheme="minorEastAsia" w:cs="宋体" w:hint="eastAsia"/>
          <w:color w:val="000000"/>
          <w:kern w:val="0"/>
          <w:szCs w:val="21"/>
        </w:rPr>
        <w:t>外投资限额、单一受托人受托资产比例等要求，规范开展债券回购和质押融资，严格控制交易杠杆比率，不得违规放大投资杠杆。</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（十二）加强风险监测防控。银行业金融机构要严格债券信用评级准入标准，做好债券</w:t>
      </w:r>
      <w:proofErr w:type="gramStart"/>
      <w:r w:rsidRPr="00A06132">
        <w:rPr>
          <w:rFonts w:asciiTheme="minorEastAsia" w:hAnsiTheme="minorEastAsia" w:cs="宋体" w:hint="eastAsia"/>
          <w:color w:val="000000"/>
          <w:kern w:val="0"/>
          <w:szCs w:val="21"/>
        </w:rPr>
        <w:t>投资久期管理</w:t>
      </w:r>
      <w:proofErr w:type="gramEnd"/>
      <w:r w:rsidRPr="00A06132">
        <w:rPr>
          <w:rFonts w:asciiTheme="minorEastAsia" w:hAnsiTheme="minorEastAsia" w:cs="宋体" w:hint="eastAsia"/>
          <w:color w:val="000000"/>
          <w:kern w:val="0"/>
          <w:szCs w:val="21"/>
        </w:rPr>
        <w:t>。高度关注债券集中到期的企业、出现债券违约的企业，防控债券违约风险向信贷业务传导。各级监管机构要督促风险管理能力薄弱、债券投资占比高的银行合理</w:t>
      </w:r>
      <w:proofErr w:type="gramStart"/>
      <w:r w:rsidRPr="00A06132">
        <w:rPr>
          <w:rFonts w:asciiTheme="minorEastAsia" w:hAnsiTheme="minorEastAsia" w:cs="宋体" w:hint="eastAsia"/>
          <w:color w:val="000000"/>
          <w:kern w:val="0"/>
          <w:szCs w:val="21"/>
        </w:rPr>
        <w:t>控制持债余额</w:t>
      </w:r>
      <w:proofErr w:type="gramEnd"/>
      <w:r w:rsidRPr="00A06132">
        <w:rPr>
          <w:rFonts w:asciiTheme="minorEastAsia" w:hAnsiTheme="minorEastAsia" w:cs="宋体" w:hint="eastAsia"/>
          <w:color w:val="000000"/>
          <w:kern w:val="0"/>
          <w:szCs w:val="21"/>
        </w:rPr>
        <w:t>。</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四、整治同业业务，加强交叉金融业务管控</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三）控制业务增量。银行业金融机构要完善同业业务内部管理架构，确保业务复杂程度与风险管理能力相匹配，审慎开展交叉金融业务。同业业务应由银行业金融机构总部统一管理、集中审批。制定统一的合作机构名单、产品投资目录，严禁与不在名单范围内的机构开展合作，严禁开展投资目录之外的业务。</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（十四）做实穿透管理。银行业金融机构要建立交叉金融业务监测台账，准确掌握业务规模、业务品种、基础资产性质、风险状况、资本和</w:t>
      </w:r>
      <w:proofErr w:type="gramStart"/>
      <w:r w:rsidRPr="00A06132">
        <w:rPr>
          <w:rFonts w:asciiTheme="minorEastAsia" w:hAnsiTheme="minorEastAsia" w:cs="宋体" w:hint="eastAsia"/>
          <w:color w:val="000000"/>
          <w:kern w:val="0"/>
          <w:szCs w:val="21"/>
        </w:rPr>
        <w:t>拨备等相关</w:t>
      </w:r>
      <w:proofErr w:type="gramEnd"/>
      <w:r w:rsidRPr="00A06132">
        <w:rPr>
          <w:rFonts w:asciiTheme="minorEastAsia" w:hAnsiTheme="minorEastAsia" w:cs="宋体" w:hint="eastAsia"/>
          <w:color w:val="000000"/>
          <w:kern w:val="0"/>
          <w:szCs w:val="21"/>
        </w:rPr>
        <w:t>信息。新开展的同业投资业务不得进行多层嵌套，要根据基础资产性质，准确计量风险，足额计提资本和拨备。</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lastRenderedPageBreak/>
        <w:t>（十五）消化存量风险。银行业金融机构应全面排查存量同业业务，对多层架构、复杂程度高的业务要制定整改计划。对风险高的同业投资业务，要制定应对策略和退出时间表。</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（十六）严查违规行为。各级监管机构要重点检查同业业务多层嵌套、特定目的载体投资未严格穿透</w:t>
      </w:r>
      <w:proofErr w:type="gramStart"/>
      <w:r w:rsidRPr="00A06132">
        <w:rPr>
          <w:rFonts w:asciiTheme="minorEastAsia" w:hAnsiTheme="minorEastAsia" w:cs="宋体" w:hint="eastAsia"/>
          <w:color w:val="000000"/>
          <w:kern w:val="0"/>
          <w:szCs w:val="21"/>
        </w:rPr>
        <w:t>至基础</w:t>
      </w:r>
      <w:proofErr w:type="gramEnd"/>
      <w:r w:rsidRPr="00A06132">
        <w:rPr>
          <w:rFonts w:asciiTheme="minorEastAsia" w:hAnsiTheme="minorEastAsia" w:cs="宋体" w:hint="eastAsia"/>
          <w:color w:val="000000"/>
          <w:kern w:val="0"/>
          <w:szCs w:val="21"/>
        </w:rPr>
        <w:t>资产、未将最终债务人纳入统一授信和集中度风险管控、资本拨备计提不足等问题。</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五、规范银行理财和代销业务，加强金融消费者保护</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七）加强银行理财业务风险管控。银行业金融机构应当确保每只理财产品与所投资资产相对应，做到单独管理、单独建账、单独核算；不得开展滚动发售、混合运作、期限错配、分离定价的资金池理财业务；确保自营业务与代客业务相分离；不得在理财产品之间、理财产品客户之间或理财产品客户与其</w:t>
      </w:r>
      <w:proofErr w:type="gramStart"/>
      <w:r w:rsidRPr="00A06132">
        <w:rPr>
          <w:rFonts w:asciiTheme="minorEastAsia" w:hAnsiTheme="minorEastAsia" w:cs="宋体" w:hint="eastAsia"/>
          <w:color w:val="000000"/>
          <w:kern w:val="0"/>
          <w:szCs w:val="21"/>
        </w:rPr>
        <w:t>他主体</w:t>
      </w:r>
      <w:proofErr w:type="gramEnd"/>
      <w:r w:rsidRPr="00A06132">
        <w:rPr>
          <w:rFonts w:asciiTheme="minorEastAsia" w:hAnsiTheme="minorEastAsia" w:cs="宋体" w:hint="eastAsia"/>
          <w:color w:val="000000"/>
          <w:kern w:val="0"/>
          <w:szCs w:val="21"/>
        </w:rPr>
        <w:t>之间进行利益输送。</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八）规范银行理财产品设计。银行业金融机构应当按照“简单、透明、可控”的原则设计和运作理财产品，在资金来源、运用、杠杆率、流动性、信息披露等方面严格遵守监管要求；严控嵌套投资，强化穿透管理，切实履行自身投资管理职责，不得简单将理财业务作为各</w:t>
      </w:r>
      <w:proofErr w:type="gramStart"/>
      <w:r w:rsidRPr="00A06132">
        <w:rPr>
          <w:rFonts w:asciiTheme="minorEastAsia" w:hAnsiTheme="minorEastAsia" w:cs="宋体" w:hint="eastAsia"/>
          <w:color w:val="000000"/>
          <w:kern w:val="0"/>
          <w:szCs w:val="21"/>
        </w:rPr>
        <w:t>类资管</w:t>
      </w:r>
      <w:proofErr w:type="gramEnd"/>
      <w:r w:rsidRPr="00A06132">
        <w:rPr>
          <w:rFonts w:asciiTheme="minorEastAsia" w:hAnsiTheme="minorEastAsia" w:cs="宋体" w:hint="eastAsia"/>
          <w:color w:val="000000"/>
          <w:kern w:val="0"/>
          <w:szCs w:val="21"/>
        </w:rPr>
        <w:t>产品的资金募集通道；严格控制杠杆，防范资金在金融体系内自我循环，不得使用自有资金购买本行发行的理财产品。</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九）加强金融消费者保护。银行业金融机构应当按照风险匹配原则，严格区分公募与私募、批发与零售、自营与代客等不同产品类型，充分披露产品信息和揭示风险，将投资者分层管理落到实处。只有面向高资产净值、私人银行和机构客户发行的银行理财产品，可投资于境内二级市场股票、未上市企业股权等权益类资产。理财产品宣传及销售人员产品营销推介时，应真实、全面介绍产品的性质和特征，明确告知是本机构产品还是其他机构产品、是保本产品还是非保本产品、是有固定收益的产品还是没有固定收益的产品。不得误导客户购买与其风险承受能力不相匹配的理财产品，严格落实“双录”要求，做到“卖者尽责”基础上的“买者自负”，切实保护投资者合法权益。</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lastRenderedPageBreak/>
        <w:t>（二十）审慎开展代销业务。银行业金融机构应当对代销业务实施严格谨慎管理。根据自身风险管理能力、合作机构风险评估情况、代销产品风险等级，合理确定代销业务品种和限额；银行业金融机构总部应对代销业务实行集中统一管理，对合作机构实行名单制管理，对拟代销产品应开展尽职调查，不得仅依据合作机构的产品审批资料作为产品审批依据；银行业金融机构应明示代销产品的代销属性，不得将代销产品与存款或自身发行的理财产品混淆销售。</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六、坚持分类调控、因城施策，防范房地产领域风险</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一）分类实施房地产信贷调控。认真落实中央经济工作会议精神，明确住房居住属性。坚持分类调控、因城施策，严厉打击“首付贷”等行为，切实抑制热点城市房地产泡沫，建立促进房地产健康发展的长效机制。</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二）强化房地产风险管控。银行业金融机构要建立全口径房地产风险监测机制。将房地产企业贷款、个人按揭贷款、以房地产为抵押的贷款、房地产企业债券，以及其他形式的房地产融资纳入监测范围，定期开展房地产压力测试。加强房地产业</w:t>
      </w:r>
      <w:proofErr w:type="gramStart"/>
      <w:r w:rsidRPr="00A06132">
        <w:rPr>
          <w:rFonts w:asciiTheme="minorEastAsia" w:hAnsiTheme="minorEastAsia" w:cs="宋体" w:hint="eastAsia"/>
          <w:color w:val="000000"/>
          <w:kern w:val="0"/>
          <w:szCs w:val="21"/>
        </w:rPr>
        <w:t>务</w:t>
      </w:r>
      <w:proofErr w:type="gramEnd"/>
      <w:r w:rsidRPr="00A06132">
        <w:rPr>
          <w:rFonts w:asciiTheme="minorEastAsia" w:hAnsiTheme="minorEastAsia" w:cs="宋体" w:hint="eastAsia"/>
          <w:color w:val="000000"/>
          <w:kern w:val="0"/>
          <w:szCs w:val="21"/>
        </w:rPr>
        <w:t>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性管理，严禁资金违规流入房地产领域。各级监管机构要重点关注房地产融资占比高、贷款质量波动大的银行业金融机构，以及房地产信托业务增量较大、</w:t>
      </w:r>
      <w:proofErr w:type="gramStart"/>
      <w:r w:rsidRPr="00A06132">
        <w:rPr>
          <w:rFonts w:asciiTheme="minorEastAsia" w:hAnsiTheme="minorEastAsia" w:cs="宋体" w:hint="eastAsia"/>
          <w:color w:val="000000"/>
          <w:kern w:val="0"/>
          <w:szCs w:val="21"/>
        </w:rPr>
        <w:t>占比较</w:t>
      </w:r>
      <w:proofErr w:type="gramEnd"/>
      <w:r w:rsidRPr="00A06132">
        <w:rPr>
          <w:rFonts w:asciiTheme="minorEastAsia" w:hAnsiTheme="minorEastAsia" w:cs="宋体" w:hint="eastAsia"/>
          <w:color w:val="000000"/>
          <w:kern w:val="0"/>
          <w:szCs w:val="21"/>
        </w:rPr>
        <w:t>高的信托公司。</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（二十三）加强房地产押品管理。银行业金融机构要完善押品准入管理机制，建立健全房地产押品动态监测机制，及时发布内部预警信息，采取有效应对措施。</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七、加强地方政府债务风险管控，切实防范地方政府债务风险</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四）严格落实《预算法》。银行业金融机构要认真落实《预算法》和《国务院关于加强地方政府性债务管理的意见》（国发〔2014〕43号）要求，不得违规新增地方政府融资平台贷款，严禁接受地方政府担保兜底。</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lastRenderedPageBreak/>
        <w:t>（二十五）规范新型业务模式。银行业金融机构要依法合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开展专项建设基金、政府与社会资本合作、政府购买服务等新型业务模式，明确各方权利义务关系，不得通过各种方式异化形成违规政府性债务。</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（二十六）强化融资平台风险管控。各级监管机构要会同有关部门强化地方政府债务全口径监测，指导银行业金融机构配合推进融资平台转型，明晰债权债务关系，防范债权悬空风险。银行业金融机构要紧</w:t>
      </w:r>
      <w:proofErr w:type="gramStart"/>
      <w:r w:rsidRPr="00A06132">
        <w:rPr>
          <w:rFonts w:asciiTheme="minorEastAsia" w:hAnsiTheme="minorEastAsia" w:cs="宋体" w:hint="eastAsia"/>
          <w:color w:val="000000"/>
          <w:kern w:val="0"/>
          <w:szCs w:val="21"/>
        </w:rPr>
        <w:t>盯</w:t>
      </w:r>
      <w:proofErr w:type="gramEnd"/>
      <w:r w:rsidRPr="00A06132">
        <w:rPr>
          <w:rFonts w:asciiTheme="minorEastAsia" w:hAnsiTheme="minorEastAsia" w:cs="宋体" w:hint="eastAsia"/>
          <w:color w:val="000000"/>
          <w:kern w:val="0"/>
          <w:szCs w:val="21"/>
        </w:rPr>
        <w:t>列入预警范围的潜在高风险地区，推动制定中长期债务风险化解规划，有效应对局部风险。</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八、稳妥推进互联网金融风险治理，促进合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稳健发展</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七）持续推进网络借贷平台（P2P）风险专项整治。严格执行《网络借贷信息中介机构业务活动管理暂行办法》和备案登记、资金存管等配套制度，按照专项整治工作实施方案要求，稳妥推进分类处置工作，督促网络借贷信息中介机构加强整改，适时采取关、停、并、转等措施。</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（二十八）重点做好校园网贷的清理整顿工作。网络借贷信息中介机构不得将不具备还款能力的借款人纳入营销范围，禁止向未满18岁的在校大学生</w:t>
      </w:r>
      <w:proofErr w:type="gramStart"/>
      <w:r w:rsidRPr="00A06132">
        <w:rPr>
          <w:rFonts w:asciiTheme="minorEastAsia" w:hAnsiTheme="minorEastAsia" w:cs="宋体" w:hint="eastAsia"/>
          <w:color w:val="000000"/>
          <w:kern w:val="0"/>
          <w:szCs w:val="21"/>
        </w:rPr>
        <w:t>提供网贷服务</w:t>
      </w:r>
      <w:proofErr w:type="gramEnd"/>
      <w:r w:rsidRPr="00A06132">
        <w:rPr>
          <w:rFonts w:asciiTheme="minorEastAsia" w:hAnsiTheme="minorEastAsia" w:cs="宋体" w:hint="eastAsia"/>
          <w:color w:val="000000"/>
          <w:kern w:val="0"/>
          <w:szCs w:val="21"/>
        </w:rPr>
        <w:t>，不得进行虚假欺诈宣传和销售，不得通过各种方式变相发放高利贷。</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（二十九）做好“现金贷”业务活动的清理整顿工作。网络借贷信息中介机构应依法合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开展业务，确保出借人资金来源合法，禁止欺诈、虚假宣传。严格执行最高人民法院关于民间借贷利率的有关规定，不得违法高利放贷及暴力催收。</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九、加强外部冲击风险监测，防止民间金融风险向银行业传递</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（三十）防范跨境业务风险。银行业金融机构要严格遵守外汇管理相关政策，加强跨境资金流动监测预警。提高跨境并</w:t>
      </w:r>
      <w:proofErr w:type="gramStart"/>
      <w:r w:rsidRPr="00A06132">
        <w:rPr>
          <w:rFonts w:asciiTheme="minorEastAsia" w:hAnsiTheme="minorEastAsia" w:cs="宋体" w:hint="eastAsia"/>
          <w:color w:val="000000"/>
          <w:kern w:val="0"/>
          <w:szCs w:val="21"/>
        </w:rPr>
        <w:t>表风险</w:t>
      </w:r>
      <w:proofErr w:type="gramEnd"/>
      <w:r w:rsidRPr="00A06132">
        <w:rPr>
          <w:rFonts w:asciiTheme="minorEastAsia" w:hAnsiTheme="minorEastAsia" w:cs="宋体" w:hint="eastAsia"/>
          <w:color w:val="000000"/>
          <w:kern w:val="0"/>
          <w:szCs w:val="21"/>
        </w:rPr>
        <w:t>管理能力，加快健全环境与社会风险管理体系，确保国别风险准备金计提充足。加强境外合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管理，及时排查反洗钱和重点领域合</w:t>
      </w:r>
      <w:proofErr w:type="gramStart"/>
      <w:r w:rsidRPr="00A06132">
        <w:rPr>
          <w:rFonts w:asciiTheme="minorEastAsia" w:hAnsiTheme="minorEastAsia" w:cs="宋体" w:hint="eastAsia"/>
          <w:color w:val="000000"/>
          <w:kern w:val="0"/>
          <w:szCs w:val="21"/>
        </w:rPr>
        <w:t>规</w:t>
      </w:r>
      <w:proofErr w:type="gramEnd"/>
      <w:r w:rsidRPr="00A06132">
        <w:rPr>
          <w:rFonts w:asciiTheme="minorEastAsia" w:hAnsiTheme="minorEastAsia" w:cs="宋体" w:hint="eastAsia"/>
          <w:color w:val="000000"/>
          <w:kern w:val="0"/>
          <w:szCs w:val="21"/>
        </w:rPr>
        <w:t>风</w:t>
      </w:r>
      <w:r w:rsidRPr="00A06132">
        <w:rPr>
          <w:rFonts w:asciiTheme="minorEastAsia" w:hAnsiTheme="minorEastAsia" w:cs="宋体" w:hint="eastAsia"/>
          <w:color w:val="000000"/>
          <w:kern w:val="0"/>
          <w:szCs w:val="21"/>
        </w:rPr>
        <w:lastRenderedPageBreak/>
        <w:t>险。提高银行及其客户科学分析外汇收支、币种结构、汇率波动走势和规律的能力，避免简单跟风变动可能带来的风险和损失。</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十一）防范社会金融风险。各级监管机构应配合地方金融监管部门规范融资担保和小贷公司行业。落实国务院清理整顿各类交易场所要求，督促银行业金融机构开展专项排查，不得为违规交易所提供开户、托管、资金划转、代理买卖、支付清算、投资咨询等服务。</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十二）严处非法集资风险。各级监管机构要加大对未经批准设立银行业金融机构的查处力度，严肃查处非法使用“银行”名称、违法吸收公众存款、违法发放贷款的行为。银行业金融机构严禁为非法集资提供任何金融服务，严禁内部员工违规参与各类集资活动，积极协助相关部门加强账户、信息监测，及时发现和报告异常交易，劝阻客户受骗参与非法集资。</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十、维护银行业经营稳定，防止出现重大案件和群体事件</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十三）加强案件风险防控。银行业金融机构要加强员工管理，有效防范内外勾结、利益输送等案件；加强重点环节管理，对授权卡、业务印章、空白凭证等物品管理全流程控制有效性进行评估；落实票据业务相关规定，规范业务操作，严禁与非法票据中介等机构开展业务合作；加大案件查处问责力度，切实做到发现一起、处理一起，做到“一案三问”“上追两级”，遏制案件多发频发态势；强化安全管理，加强安全防范设施建设，及时消除各类安全隐患。</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（三十四）加强信息科技风险防控。银行业金融机构要全面强化网络信息安全管理，提高身份认证机制安全性；加大对新兴电子渠道风险的管理力度，</w:t>
      </w:r>
      <w:proofErr w:type="gramStart"/>
      <w:r w:rsidRPr="00A06132">
        <w:rPr>
          <w:rFonts w:asciiTheme="minorEastAsia" w:hAnsiTheme="minorEastAsia" w:cs="宋体" w:hint="eastAsia"/>
          <w:color w:val="000000"/>
          <w:kern w:val="0"/>
          <w:szCs w:val="21"/>
        </w:rPr>
        <w:t>完善灾备体系</w:t>
      </w:r>
      <w:proofErr w:type="gramEnd"/>
      <w:r w:rsidRPr="00A06132">
        <w:rPr>
          <w:rFonts w:asciiTheme="minorEastAsia" w:hAnsiTheme="minorEastAsia" w:cs="宋体" w:hint="eastAsia"/>
          <w:color w:val="000000"/>
          <w:kern w:val="0"/>
          <w:szCs w:val="21"/>
        </w:rPr>
        <w:t>，制定完善应对预案；完善外包管理体系，降低外包风险，不得将信息科技管理责任外包。对发生严重信息科技风险事件的银行业金融机构，各级监管机构要及时采取必要的强制性监管措施。</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lastRenderedPageBreak/>
        <w:t>（三十五）加强预期管理。银行业金融机构要主动发声，强化主动服务意识和沟通意识，提高信息披露频率和透明度。正确引导各方预期，提升各界对银行业的信心。积极</w:t>
      </w:r>
      <w:proofErr w:type="gramStart"/>
      <w:r w:rsidRPr="00A06132">
        <w:rPr>
          <w:rFonts w:asciiTheme="minorEastAsia" w:hAnsiTheme="minorEastAsia" w:cs="宋体" w:hint="eastAsia"/>
          <w:color w:val="000000"/>
          <w:kern w:val="0"/>
          <w:szCs w:val="21"/>
        </w:rPr>
        <w:t>研</w:t>
      </w:r>
      <w:proofErr w:type="gramEnd"/>
      <w:r w:rsidRPr="00A06132">
        <w:rPr>
          <w:rFonts w:asciiTheme="minorEastAsia" w:hAnsiTheme="minorEastAsia" w:cs="宋体" w:hint="eastAsia"/>
          <w:color w:val="000000"/>
          <w:kern w:val="0"/>
          <w:szCs w:val="21"/>
        </w:rPr>
        <w:t>判社会舆情走势，重点关注可能导致声誉风险的各类隐患，提前准备应对预案，提升应对能力。</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各级监管机构、各银行业金融机构要稳妥有序开展风险防控工作，把握好节奏平衡，防止在化解风险过程中产生新的风险。各银行业金融机构要履行风险防控主体责任，实行“一把手”负责制，制定可行性、针对性强的实施方案，细化责任分工，层层压实责任，把责任落实到具体的机构、部门和人员，对于重大违规和案件风险，要一查到底，对相关机构、违规人员和领导人员</w:t>
      </w:r>
      <w:proofErr w:type="gramStart"/>
      <w:r w:rsidRPr="00A06132">
        <w:rPr>
          <w:rFonts w:asciiTheme="minorEastAsia" w:hAnsiTheme="minorEastAsia" w:cs="宋体" w:hint="eastAsia"/>
          <w:color w:val="000000"/>
          <w:kern w:val="0"/>
          <w:szCs w:val="21"/>
        </w:rPr>
        <w:t>严格问</w:t>
      </w:r>
      <w:proofErr w:type="gramEnd"/>
      <w:r w:rsidRPr="00A06132">
        <w:rPr>
          <w:rFonts w:asciiTheme="minorEastAsia" w:hAnsiTheme="minorEastAsia" w:cs="宋体" w:hint="eastAsia"/>
          <w:color w:val="000000"/>
          <w:kern w:val="0"/>
          <w:szCs w:val="21"/>
        </w:rPr>
        <w:t>责。各级监管机构要做到守土有责，及时开展工作督查，对自查整改不到位、存在违法违规问题的机构，要严肃问责。</w:t>
      </w:r>
    </w:p>
    <w:p w:rsidR="00A06132" w:rsidRPr="00A06132" w:rsidRDefault="00A06132" w:rsidP="00A0613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各法人银行业金融机构应分别于2017年7月20日和2018年1月20日前，向监管机构报告本机构上半年和全年相关工作进展。</w:t>
      </w:r>
      <w:proofErr w:type="gramStart"/>
      <w:r w:rsidRPr="00A06132">
        <w:rPr>
          <w:rFonts w:asciiTheme="minorEastAsia" w:hAnsiTheme="minorEastAsia" w:cs="宋体" w:hint="eastAsia"/>
          <w:color w:val="000000"/>
          <w:kern w:val="0"/>
          <w:szCs w:val="21"/>
        </w:rPr>
        <w:t>各银监</w:t>
      </w:r>
      <w:proofErr w:type="gramEnd"/>
      <w:r w:rsidRPr="00A06132">
        <w:rPr>
          <w:rFonts w:asciiTheme="minorEastAsia" w:hAnsiTheme="minorEastAsia" w:cs="宋体" w:hint="eastAsia"/>
          <w:color w:val="000000"/>
          <w:kern w:val="0"/>
          <w:szCs w:val="21"/>
        </w:rPr>
        <w:t>局应分别于2017年7月31日和2018年1月31日前，向银监会报告上半年和全年辖内银行业风险防控及督查工作情况。</w:t>
      </w:r>
    </w:p>
    <w:p w:rsidR="00A06132" w:rsidRPr="00A06132" w:rsidRDefault="00A06132" w:rsidP="00A06132">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A06132">
        <w:rPr>
          <w:rFonts w:asciiTheme="minorEastAsia" w:hAnsiTheme="minorEastAsia" w:cs="宋体" w:hint="eastAsia"/>
          <w:color w:val="000000"/>
          <w:kern w:val="0"/>
          <w:szCs w:val="21"/>
        </w:rPr>
        <w:t>2017年4月7日</w:t>
      </w:r>
    </w:p>
    <w:p w:rsidR="00A06132" w:rsidRPr="00A06132" w:rsidRDefault="00A06132" w:rsidP="00304F63">
      <w:pPr>
        <w:spacing w:line="360" w:lineRule="auto"/>
        <w:rPr>
          <w:rFonts w:asciiTheme="minorEastAsia" w:hAnsiTheme="minorEastAsia" w:hint="eastAsia"/>
          <w:szCs w:val="21"/>
        </w:rPr>
      </w:pPr>
    </w:p>
    <w:sectPr w:rsidR="00A06132" w:rsidRPr="00A061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3B48F8"/>
    <w:rsid w:val="00611ABE"/>
    <w:rsid w:val="007B18CF"/>
    <w:rsid w:val="008D70F4"/>
    <w:rsid w:val="00A06132"/>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472606507">
      <w:bodyDiv w:val="1"/>
      <w:marLeft w:val="0"/>
      <w:marRight w:val="0"/>
      <w:marTop w:val="0"/>
      <w:marBottom w:val="0"/>
      <w:divBdr>
        <w:top w:val="none" w:sz="0" w:space="0" w:color="auto"/>
        <w:left w:val="none" w:sz="0" w:space="0" w:color="auto"/>
        <w:bottom w:val="none" w:sz="0" w:space="0" w:color="auto"/>
        <w:right w:val="none" w:sz="0" w:space="0" w:color="auto"/>
      </w:divBdr>
    </w:div>
    <w:div w:id="493491654">
      <w:bodyDiv w:val="1"/>
      <w:marLeft w:val="0"/>
      <w:marRight w:val="0"/>
      <w:marTop w:val="0"/>
      <w:marBottom w:val="0"/>
      <w:divBdr>
        <w:top w:val="none" w:sz="0" w:space="0" w:color="auto"/>
        <w:left w:val="none" w:sz="0" w:space="0" w:color="auto"/>
        <w:bottom w:val="none" w:sz="0" w:space="0" w:color="auto"/>
        <w:right w:val="none" w:sz="0" w:space="0" w:color="auto"/>
      </w:divBdr>
    </w:div>
    <w:div w:id="518354413">
      <w:bodyDiv w:val="1"/>
      <w:marLeft w:val="0"/>
      <w:marRight w:val="0"/>
      <w:marTop w:val="0"/>
      <w:marBottom w:val="0"/>
      <w:divBdr>
        <w:top w:val="none" w:sz="0" w:space="0" w:color="auto"/>
        <w:left w:val="none" w:sz="0" w:space="0" w:color="auto"/>
        <w:bottom w:val="none" w:sz="0" w:space="0" w:color="auto"/>
        <w:right w:val="none" w:sz="0" w:space="0" w:color="auto"/>
      </w:divBdr>
    </w:div>
    <w:div w:id="76265318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84812602">
      <w:bodyDiv w:val="1"/>
      <w:marLeft w:val="0"/>
      <w:marRight w:val="0"/>
      <w:marTop w:val="0"/>
      <w:marBottom w:val="0"/>
      <w:divBdr>
        <w:top w:val="none" w:sz="0" w:space="0" w:color="auto"/>
        <w:left w:val="none" w:sz="0" w:space="0" w:color="auto"/>
        <w:bottom w:val="none" w:sz="0" w:space="0" w:color="auto"/>
        <w:right w:val="none" w:sz="0" w:space="0" w:color="auto"/>
      </w:divBdr>
    </w:div>
    <w:div w:id="1591769325">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23738405">
      <w:bodyDiv w:val="1"/>
      <w:marLeft w:val="0"/>
      <w:marRight w:val="0"/>
      <w:marTop w:val="0"/>
      <w:marBottom w:val="0"/>
      <w:divBdr>
        <w:top w:val="none" w:sz="0" w:space="0" w:color="auto"/>
        <w:left w:val="none" w:sz="0" w:space="0" w:color="auto"/>
        <w:bottom w:val="none" w:sz="0" w:space="0" w:color="auto"/>
        <w:right w:val="none" w:sz="0" w:space="0" w:color="auto"/>
      </w:divBdr>
    </w:div>
    <w:div w:id="20382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2017-06-07T01:26:00Z</dcterms:created>
  <dcterms:modified xsi:type="dcterms:W3CDTF">2017-06-07T01:26:00Z</dcterms:modified>
</cp:coreProperties>
</file>