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宋体" w:hAnsi="宋体" w:eastAsia="宋体" w:cs="宋体"/>
          <w:b/>
          <w:bCs/>
        </w:rPr>
      </w:pPr>
      <w:bookmarkStart w:id="0" w:name="_GoBack"/>
      <w:r>
        <w:rPr>
          <w:rFonts w:hint="eastAsia" w:ascii="宋体" w:hAnsi="宋体" w:eastAsia="宋体" w:cs="宋体"/>
          <w:b/>
          <w:bCs/>
        </w:rPr>
        <w:t>贵州省市政公用事业特许经营管理条例</w:t>
      </w:r>
    </w:p>
    <w:bookmarkEnd w:id="0"/>
    <w:p>
      <w:pPr>
        <w:pStyle w:val="20"/>
        <w:jc w:val="center"/>
        <w:rPr>
          <w:rFonts w:hint="eastAsia" w:ascii="宋体" w:hAnsi="宋体" w:eastAsia="宋体" w:cs="宋体"/>
          <w:b/>
          <w:bCs/>
        </w:rPr>
      </w:pPr>
    </w:p>
    <w:p>
      <w:pPr>
        <w:pStyle w:val="20"/>
        <w:rPr>
          <w:rFonts w:hint="eastAsia" w:ascii="宋体" w:hAnsi="宋体" w:eastAsia="宋体" w:cs="宋体"/>
          <w:b/>
          <w:bCs/>
        </w:rPr>
      </w:pPr>
      <w:r>
        <w:rPr>
          <w:rFonts w:hint="eastAsia" w:ascii="宋体" w:hAnsi="宋体" w:eastAsia="宋体" w:cs="宋体"/>
          <w:b/>
          <w:bCs/>
        </w:rPr>
        <w:t>第一章　总则</w:t>
      </w:r>
    </w:p>
    <w:p>
      <w:pPr>
        <w:pStyle w:val="20"/>
        <w:rPr>
          <w:rFonts w:hint="eastAsia" w:ascii="宋体" w:hAnsi="宋体" w:eastAsia="宋体" w:cs="宋体"/>
        </w:rPr>
      </w:pPr>
      <w:r>
        <w:rPr>
          <w:rFonts w:hint="eastAsia" w:ascii="宋体" w:hAnsi="宋体" w:eastAsia="宋体" w:cs="宋体"/>
          <w:lang w:val="en-US" w:eastAsia="zh-CN"/>
        </w:rPr>
        <w:t>第一条　为规范市政公用事业特许经营活动，保障公众利益及特许经营者的合法权益，促进市政公用事业发展，根据国家有关法律、法规，制定本办法。</w:t>
      </w:r>
    </w:p>
    <w:p>
      <w:pPr>
        <w:pStyle w:val="20"/>
        <w:rPr>
          <w:rFonts w:hint="eastAsia" w:ascii="宋体" w:hAnsi="宋体" w:eastAsia="宋体" w:cs="宋体"/>
        </w:rPr>
      </w:pPr>
      <w:r>
        <w:rPr>
          <w:rFonts w:hint="eastAsia" w:ascii="宋体" w:hAnsi="宋体" w:eastAsia="宋体" w:cs="宋体"/>
          <w:lang w:val="en-US" w:eastAsia="zh-CN"/>
        </w:rPr>
        <w:t>第二条　本办法所称市政公用事业特许经营（以下简称特许经营），是指公民、法人或者其他组织经行政特别许可和授权，在一定期限和范围内经营市政公用事业。特许经营的范围有：</w:t>
      </w:r>
    </w:p>
    <w:p>
      <w:pPr>
        <w:pStyle w:val="20"/>
        <w:rPr>
          <w:rFonts w:hint="eastAsia" w:ascii="宋体" w:hAnsi="宋体" w:eastAsia="宋体" w:cs="宋体"/>
        </w:rPr>
      </w:pPr>
      <w:r>
        <w:rPr>
          <w:rFonts w:hint="eastAsia" w:ascii="宋体" w:hAnsi="宋体" w:eastAsia="宋体" w:cs="宋体"/>
          <w:lang w:val="en-US" w:eastAsia="zh-CN"/>
        </w:rPr>
        <w:t>（一）城市供水、供气、集中供热；</w:t>
      </w:r>
    </w:p>
    <w:p>
      <w:pPr>
        <w:pStyle w:val="20"/>
        <w:rPr>
          <w:rFonts w:hint="eastAsia" w:ascii="宋体" w:hAnsi="宋体" w:eastAsia="宋体" w:cs="宋体"/>
        </w:rPr>
      </w:pPr>
      <w:r>
        <w:rPr>
          <w:rFonts w:hint="eastAsia" w:ascii="宋体" w:hAnsi="宋体" w:eastAsia="宋体" w:cs="宋体"/>
          <w:lang w:val="en-US" w:eastAsia="zh-CN"/>
        </w:rPr>
        <w:t>（二）城市污水处理和生活垃圾处理；</w:t>
      </w:r>
    </w:p>
    <w:p>
      <w:pPr>
        <w:pStyle w:val="20"/>
        <w:rPr>
          <w:rFonts w:hint="eastAsia" w:ascii="宋体" w:hAnsi="宋体" w:eastAsia="宋体" w:cs="宋体"/>
        </w:rPr>
      </w:pPr>
      <w:r>
        <w:rPr>
          <w:rFonts w:hint="eastAsia" w:ascii="宋体" w:hAnsi="宋体" w:eastAsia="宋体" w:cs="宋体"/>
          <w:lang w:val="en-US" w:eastAsia="zh-CN"/>
        </w:rPr>
        <w:t>（三）城市公共客运交通；</w:t>
      </w:r>
    </w:p>
    <w:p>
      <w:pPr>
        <w:pStyle w:val="20"/>
        <w:rPr>
          <w:rFonts w:hint="eastAsia" w:ascii="宋体" w:hAnsi="宋体" w:eastAsia="宋体" w:cs="宋体"/>
        </w:rPr>
      </w:pPr>
      <w:r>
        <w:rPr>
          <w:rFonts w:hint="eastAsia" w:ascii="宋体" w:hAnsi="宋体" w:eastAsia="宋体" w:cs="宋体"/>
          <w:lang w:val="en-US" w:eastAsia="zh-CN"/>
        </w:rPr>
        <w:t>（四）城市道路、桥涵、路灯、园林绿化等市政公用设施的养护；</w:t>
      </w:r>
    </w:p>
    <w:p>
      <w:pPr>
        <w:pStyle w:val="20"/>
        <w:rPr>
          <w:rFonts w:hint="eastAsia" w:ascii="宋体" w:hAnsi="宋体" w:eastAsia="宋体" w:cs="宋体"/>
        </w:rPr>
      </w:pPr>
      <w:r>
        <w:rPr>
          <w:rFonts w:hint="eastAsia" w:ascii="宋体" w:hAnsi="宋体" w:eastAsia="宋体" w:cs="宋体"/>
          <w:lang w:val="en-US" w:eastAsia="zh-CN"/>
        </w:rPr>
        <w:t>（五）生活垃圾清扫保洁和清运。</w:t>
      </w:r>
    </w:p>
    <w:p>
      <w:pPr>
        <w:pStyle w:val="20"/>
        <w:rPr>
          <w:rFonts w:hint="eastAsia" w:ascii="宋体" w:hAnsi="宋体" w:eastAsia="宋体" w:cs="宋体"/>
        </w:rPr>
      </w:pPr>
      <w:r>
        <w:rPr>
          <w:rFonts w:hint="eastAsia" w:ascii="宋体" w:hAnsi="宋体" w:eastAsia="宋体" w:cs="宋体"/>
          <w:lang w:val="en-US" w:eastAsia="zh-CN"/>
        </w:rPr>
        <w:t>第三条　鼓励利用社会资金、境外资本，采取独资、合资、合作等形式建设市政公用设施，从事特许经营。</w:t>
      </w:r>
    </w:p>
    <w:p>
      <w:pPr>
        <w:pStyle w:val="20"/>
        <w:rPr>
          <w:rFonts w:hint="eastAsia" w:ascii="宋体" w:hAnsi="宋体" w:eastAsia="宋体" w:cs="宋体"/>
        </w:rPr>
      </w:pPr>
      <w:r>
        <w:rPr>
          <w:rFonts w:hint="eastAsia" w:ascii="宋体" w:hAnsi="宋体" w:eastAsia="宋体" w:cs="宋体"/>
          <w:lang w:val="en-US" w:eastAsia="zh-CN"/>
        </w:rPr>
        <w:t>第四条　实施市政公用事业特许经营，应当遵循公开、公平、公正和公共利益优先的原则。</w:t>
      </w:r>
    </w:p>
    <w:p>
      <w:pPr>
        <w:pStyle w:val="20"/>
        <w:rPr>
          <w:rFonts w:hint="eastAsia" w:ascii="宋体" w:hAnsi="宋体" w:eastAsia="宋体" w:cs="宋体"/>
        </w:rPr>
      </w:pPr>
      <w:r>
        <w:rPr>
          <w:rFonts w:hint="eastAsia" w:ascii="宋体" w:hAnsi="宋体" w:eastAsia="宋体" w:cs="宋体"/>
          <w:lang w:val="en-US" w:eastAsia="zh-CN"/>
        </w:rPr>
        <w:t>第五条　政府投资建设的市政公用设施，所有权属于政府。特许经营者按照城市规划投资建设的市政公用设施，在特许经营期满或者终止后，无偿归政府所有。</w:t>
      </w:r>
    </w:p>
    <w:p>
      <w:pPr>
        <w:pStyle w:val="20"/>
        <w:rPr>
          <w:rFonts w:hint="eastAsia" w:ascii="宋体" w:hAnsi="宋体" w:eastAsia="宋体" w:cs="宋体"/>
        </w:rPr>
      </w:pPr>
      <w:r>
        <w:rPr>
          <w:rFonts w:hint="eastAsia" w:ascii="宋体" w:hAnsi="宋体" w:eastAsia="宋体" w:cs="宋体"/>
          <w:lang w:val="en-US" w:eastAsia="zh-CN"/>
        </w:rPr>
        <w:t>第六条　特许经营权的授权主体是当地市、县人民政府及其确定的建设行政主管部门或者其他有关行政主管部门。</w:t>
      </w:r>
    </w:p>
    <w:p>
      <w:pPr>
        <w:pStyle w:val="20"/>
        <w:rPr>
          <w:rFonts w:hint="eastAsia" w:ascii="宋体" w:hAnsi="宋体" w:eastAsia="宋体" w:cs="宋体"/>
        </w:rPr>
      </w:pPr>
      <w:r>
        <w:rPr>
          <w:rFonts w:hint="eastAsia" w:ascii="宋体" w:hAnsi="宋体" w:eastAsia="宋体" w:cs="宋体"/>
          <w:lang w:val="en-US" w:eastAsia="zh-CN"/>
        </w:rPr>
        <w:t>跨地（州、市）的燃气管道项目特许经营权的授权主体是省建设行政主管部门；跨县（市、区）的燃气管道项目的特许经营权的授权主体是地（州、市）人民政府（行署）或者其授权的建设行政主管部门。</w:t>
      </w:r>
    </w:p>
    <w:p>
      <w:pPr>
        <w:pStyle w:val="20"/>
        <w:rPr>
          <w:rFonts w:hint="eastAsia" w:ascii="宋体" w:hAnsi="宋体" w:eastAsia="宋体" w:cs="宋体"/>
        </w:rPr>
      </w:pPr>
      <w:r>
        <w:rPr>
          <w:rFonts w:hint="eastAsia" w:ascii="宋体" w:hAnsi="宋体" w:eastAsia="宋体" w:cs="宋体"/>
          <w:lang w:val="en-US" w:eastAsia="zh-CN"/>
        </w:rPr>
        <w:t>第七条　省建设行政主管部门负责本省行政区域内的市政公用事业特许经营活动的指导和监督工作。</w:t>
      </w:r>
    </w:p>
    <w:p>
      <w:pPr>
        <w:pStyle w:val="20"/>
        <w:rPr>
          <w:rFonts w:hint="eastAsia" w:ascii="宋体" w:hAnsi="宋体" w:eastAsia="宋体" w:cs="宋体"/>
          <w:lang w:val="en-US" w:eastAsia="zh-CN"/>
        </w:rPr>
      </w:pPr>
      <w:r>
        <w:rPr>
          <w:rFonts w:hint="eastAsia" w:ascii="宋体" w:hAnsi="宋体" w:eastAsia="宋体" w:cs="宋体"/>
          <w:lang w:val="en-US" w:eastAsia="zh-CN"/>
        </w:rPr>
        <w:t>财政、审计、监察等有关行政主管部门和国有资产管理部门按照各自的职责，对特许经营活动实施监督管理。</w:t>
      </w:r>
    </w:p>
    <w:p>
      <w:pPr>
        <w:pStyle w:val="20"/>
        <w:rPr>
          <w:rFonts w:hint="eastAsia" w:ascii="宋体" w:hAnsi="宋体" w:eastAsia="宋体" w:cs="宋体"/>
          <w:lang w:val="en-US" w:eastAsia="zh-CN"/>
        </w:rPr>
      </w:pPr>
    </w:p>
    <w:p>
      <w:pPr>
        <w:pStyle w:val="20"/>
        <w:rPr>
          <w:rFonts w:hint="eastAsia" w:ascii="宋体" w:hAnsi="宋体" w:eastAsia="宋体" w:cs="宋体"/>
          <w:b/>
          <w:bCs/>
        </w:rPr>
      </w:pPr>
      <w:r>
        <w:rPr>
          <w:rFonts w:hint="eastAsia" w:ascii="宋体" w:hAnsi="宋体" w:eastAsia="宋体" w:cs="宋体"/>
          <w:b/>
          <w:bCs/>
        </w:rPr>
        <w:t>第二章　特许经营权</w:t>
      </w:r>
    </w:p>
    <w:p>
      <w:pPr>
        <w:pStyle w:val="20"/>
        <w:rPr>
          <w:rFonts w:hint="eastAsia" w:ascii="宋体" w:hAnsi="宋体" w:eastAsia="宋体" w:cs="宋体"/>
        </w:rPr>
      </w:pPr>
      <w:r>
        <w:rPr>
          <w:rFonts w:hint="eastAsia" w:ascii="宋体" w:hAnsi="宋体" w:eastAsia="宋体" w:cs="宋体"/>
          <w:lang w:val="en-US" w:eastAsia="zh-CN"/>
        </w:rPr>
        <w:t>第八条　特许经营可采取下列形式：</w:t>
      </w:r>
    </w:p>
    <w:p>
      <w:pPr>
        <w:pStyle w:val="20"/>
        <w:rPr>
          <w:rFonts w:hint="eastAsia" w:ascii="宋体" w:hAnsi="宋体" w:eastAsia="宋体" w:cs="宋体"/>
        </w:rPr>
      </w:pPr>
      <w:r>
        <w:rPr>
          <w:rFonts w:hint="eastAsia" w:ascii="宋体" w:hAnsi="宋体" w:eastAsia="宋体" w:cs="宋体"/>
          <w:lang w:val="en-US" w:eastAsia="zh-CN"/>
        </w:rPr>
        <w:t>（一）在一定期限内，将项目的投资建设和经营权授予法人或者其他组织，期满后按特许经营协议无偿移交政府；</w:t>
      </w:r>
    </w:p>
    <w:p>
      <w:pPr>
        <w:pStyle w:val="20"/>
        <w:rPr>
          <w:rFonts w:hint="eastAsia" w:ascii="宋体" w:hAnsi="宋体" w:eastAsia="宋体" w:cs="宋体"/>
        </w:rPr>
      </w:pPr>
      <w:r>
        <w:rPr>
          <w:rFonts w:hint="eastAsia" w:ascii="宋体" w:hAnsi="宋体" w:eastAsia="宋体" w:cs="宋体"/>
          <w:lang w:val="en-US" w:eastAsia="zh-CN"/>
        </w:rPr>
        <w:t>（二）在一定期限内，将已建好的市政公用设施的经营权授予法人或者其他组织，期满后按特许经营协议无偿归还政府；</w:t>
      </w:r>
    </w:p>
    <w:p>
      <w:pPr>
        <w:pStyle w:val="20"/>
        <w:rPr>
          <w:rFonts w:hint="eastAsia" w:ascii="宋体" w:hAnsi="宋体" w:eastAsia="宋体" w:cs="宋体"/>
        </w:rPr>
      </w:pPr>
      <w:r>
        <w:rPr>
          <w:rFonts w:hint="eastAsia" w:ascii="宋体" w:hAnsi="宋体" w:eastAsia="宋体" w:cs="宋体"/>
          <w:lang w:val="en-US" w:eastAsia="zh-CN"/>
        </w:rPr>
        <w:t>（三）在一定期限内，委托公民、法人或者其他组织提供公共产品和服务。</w:t>
      </w:r>
    </w:p>
    <w:p>
      <w:pPr>
        <w:pStyle w:val="20"/>
        <w:rPr>
          <w:rFonts w:hint="eastAsia" w:ascii="宋体" w:hAnsi="宋体" w:eastAsia="宋体" w:cs="宋体"/>
        </w:rPr>
      </w:pPr>
      <w:r>
        <w:rPr>
          <w:rFonts w:hint="eastAsia" w:ascii="宋体" w:hAnsi="宋体" w:eastAsia="宋体" w:cs="宋体"/>
          <w:lang w:val="en-US" w:eastAsia="zh-CN"/>
        </w:rPr>
        <w:t>前款第（一）、（二）项的经营期限最长不超过30年；前款第（三）项的经营期限最长不超过8年。</w:t>
      </w:r>
    </w:p>
    <w:p>
      <w:pPr>
        <w:pStyle w:val="20"/>
        <w:rPr>
          <w:rFonts w:hint="eastAsia" w:ascii="宋体" w:hAnsi="宋体" w:eastAsia="宋体" w:cs="宋体"/>
        </w:rPr>
      </w:pPr>
      <w:r>
        <w:rPr>
          <w:rFonts w:hint="eastAsia" w:ascii="宋体" w:hAnsi="宋体" w:eastAsia="宋体" w:cs="宋体"/>
          <w:lang w:val="en-US" w:eastAsia="zh-CN"/>
        </w:rPr>
        <w:t>第九条　县（市）人民政府根据城市建设发展需要，制定特许经营项目的实施方案，经地（州、市）人民政府（行署）审核，报省建设行政主管部门备案；市人民政府根据城市建设发展需要，制定特许经营项目的实施方案，报省建设行政主管部门备案。实施方案应当包括下列内容：</w:t>
      </w:r>
    </w:p>
    <w:p>
      <w:pPr>
        <w:pStyle w:val="20"/>
        <w:rPr>
          <w:rFonts w:hint="eastAsia" w:ascii="宋体" w:hAnsi="宋体" w:eastAsia="宋体" w:cs="宋体"/>
        </w:rPr>
      </w:pPr>
      <w:r>
        <w:rPr>
          <w:rFonts w:hint="eastAsia" w:ascii="宋体" w:hAnsi="宋体" w:eastAsia="宋体" w:cs="宋体"/>
          <w:lang w:val="en-US" w:eastAsia="zh-CN"/>
        </w:rPr>
        <w:t>（一）项目名称；</w:t>
      </w:r>
    </w:p>
    <w:p>
      <w:pPr>
        <w:pStyle w:val="20"/>
        <w:rPr>
          <w:rFonts w:hint="eastAsia" w:ascii="宋体" w:hAnsi="宋体" w:eastAsia="宋体" w:cs="宋体"/>
        </w:rPr>
      </w:pPr>
      <w:r>
        <w:rPr>
          <w:rFonts w:hint="eastAsia" w:ascii="宋体" w:hAnsi="宋体" w:eastAsia="宋体" w:cs="宋体"/>
          <w:lang w:val="en-US" w:eastAsia="zh-CN"/>
        </w:rPr>
        <w:t>（二）项目基本经济技术指标；</w:t>
      </w:r>
    </w:p>
    <w:p>
      <w:pPr>
        <w:pStyle w:val="20"/>
        <w:rPr>
          <w:rFonts w:hint="eastAsia" w:ascii="宋体" w:hAnsi="宋体" w:eastAsia="宋体" w:cs="宋体"/>
        </w:rPr>
      </w:pPr>
      <w:r>
        <w:rPr>
          <w:rFonts w:hint="eastAsia" w:ascii="宋体" w:hAnsi="宋体" w:eastAsia="宋体" w:cs="宋体"/>
          <w:lang w:val="en-US" w:eastAsia="zh-CN"/>
        </w:rPr>
        <w:t>（三）选址和其他规划条件；</w:t>
      </w:r>
    </w:p>
    <w:p>
      <w:pPr>
        <w:pStyle w:val="20"/>
        <w:rPr>
          <w:rFonts w:hint="eastAsia" w:ascii="宋体" w:hAnsi="宋体" w:eastAsia="宋体" w:cs="宋体"/>
        </w:rPr>
      </w:pPr>
      <w:r>
        <w:rPr>
          <w:rFonts w:hint="eastAsia" w:ascii="宋体" w:hAnsi="宋体" w:eastAsia="宋体" w:cs="宋体"/>
          <w:lang w:val="en-US" w:eastAsia="zh-CN"/>
        </w:rPr>
        <w:t>（四）特许经营期限；</w:t>
      </w:r>
    </w:p>
    <w:p>
      <w:pPr>
        <w:pStyle w:val="20"/>
        <w:rPr>
          <w:rFonts w:hint="eastAsia" w:ascii="宋体" w:hAnsi="宋体" w:eastAsia="宋体" w:cs="宋体"/>
        </w:rPr>
      </w:pPr>
      <w:r>
        <w:rPr>
          <w:rFonts w:hint="eastAsia" w:ascii="宋体" w:hAnsi="宋体" w:eastAsia="宋体" w:cs="宋体"/>
          <w:lang w:val="en-US" w:eastAsia="zh-CN"/>
        </w:rPr>
        <w:t>（五）投资回报、价格测算；</w:t>
      </w:r>
    </w:p>
    <w:p>
      <w:pPr>
        <w:pStyle w:val="20"/>
        <w:rPr>
          <w:rFonts w:hint="eastAsia" w:ascii="宋体" w:hAnsi="宋体" w:eastAsia="宋体" w:cs="宋体"/>
        </w:rPr>
      </w:pPr>
      <w:r>
        <w:rPr>
          <w:rFonts w:hint="eastAsia" w:ascii="宋体" w:hAnsi="宋体" w:eastAsia="宋体" w:cs="宋体"/>
          <w:lang w:val="en-US" w:eastAsia="zh-CN"/>
        </w:rPr>
        <w:t>（六）特许经营者应当具备的条件及选择方式；</w:t>
      </w:r>
    </w:p>
    <w:p>
      <w:pPr>
        <w:pStyle w:val="20"/>
        <w:rPr>
          <w:rFonts w:hint="eastAsia" w:ascii="宋体" w:hAnsi="宋体" w:eastAsia="宋体" w:cs="宋体"/>
        </w:rPr>
      </w:pPr>
      <w:r>
        <w:rPr>
          <w:rFonts w:hint="eastAsia" w:ascii="宋体" w:hAnsi="宋体" w:eastAsia="宋体" w:cs="宋体"/>
          <w:lang w:val="en-US" w:eastAsia="zh-CN"/>
        </w:rPr>
        <w:t>（七）政府承诺的范围；</w:t>
      </w:r>
    </w:p>
    <w:p>
      <w:pPr>
        <w:pStyle w:val="20"/>
        <w:rPr>
          <w:rFonts w:hint="eastAsia" w:ascii="宋体" w:hAnsi="宋体" w:eastAsia="宋体" w:cs="宋体"/>
        </w:rPr>
      </w:pPr>
      <w:r>
        <w:rPr>
          <w:rFonts w:hint="eastAsia" w:ascii="宋体" w:hAnsi="宋体" w:eastAsia="宋体" w:cs="宋体"/>
          <w:lang w:val="en-US" w:eastAsia="zh-CN"/>
        </w:rPr>
        <w:t>（八）保障措施。</w:t>
      </w:r>
    </w:p>
    <w:p>
      <w:pPr>
        <w:pStyle w:val="20"/>
        <w:rPr>
          <w:rFonts w:hint="eastAsia" w:ascii="宋体" w:hAnsi="宋体" w:eastAsia="宋体" w:cs="宋体"/>
        </w:rPr>
      </w:pPr>
      <w:r>
        <w:rPr>
          <w:rFonts w:hint="eastAsia" w:ascii="宋体" w:hAnsi="宋体" w:eastAsia="宋体" w:cs="宋体"/>
          <w:lang w:val="en-US" w:eastAsia="zh-CN"/>
        </w:rPr>
        <w:t>第十条　政府承诺的范围可以涉及与特许经营项目有关的土地使用、提供相关基础设施、给予必要的补贴、防止不必要的重复性竞争项目建设。但不得承诺商业风险分担、固定投资回报率及法律、法规、规章禁止的事项。</w:t>
      </w:r>
    </w:p>
    <w:p>
      <w:pPr>
        <w:pStyle w:val="20"/>
        <w:rPr>
          <w:rFonts w:hint="eastAsia" w:ascii="宋体" w:hAnsi="宋体" w:eastAsia="宋体" w:cs="宋体"/>
        </w:rPr>
      </w:pPr>
      <w:r>
        <w:rPr>
          <w:rFonts w:hint="eastAsia" w:ascii="宋体" w:hAnsi="宋体" w:eastAsia="宋体" w:cs="宋体"/>
          <w:lang w:val="en-US" w:eastAsia="zh-CN"/>
        </w:rPr>
        <w:t>特许经营者为完成公益性目标而承担政府指令性任务的，政府应当给予补贴。</w:t>
      </w:r>
    </w:p>
    <w:p>
      <w:pPr>
        <w:pStyle w:val="20"/>
        <w:rPr>
          <w:rFonts w:hint="eastAsia" w:ascii="宋体" w:hAnsi="宋体" w:eastAsia="宋体" w:cs="宋体"/>
        </w:rPr>
      </w:pPr>
      <w:r>
        <w:rPr>
          <w:rFonts w:hint="eastAsia" w:ascii="宋体" w:hAnsi="宋体" w:eastAsia="宋体" w:cs="宋体"/>
          <w:lang w:val="en-US" w:eastAsia="zh-CN"/>
        </w:rPr>
        <w:t>第十一条　申请特许经营的法人或者其他组织，应当具备下列条件：</w:t>
      </w:r>
    </w:p>
    <w:p>
      <w:pPr>
        <w:pStyle w:val="20"/>
        <w:rPr>
          <w:rFonts w:hint="eastAsia" w:ascii="宋体" w:hAnsi="宋体" w:eastAsia="宋体" w:cs="宋体"/>
        </w:rPr>
      </w:pPr>
      <w:r>
        <w:rPr>
          <w:rFonts w:hint="eastAsia" w:ascii="宋体" w:hAnsi="宋体" w:eastAsia="宋体" w:cs="宋体"/>
          <w:lang w:val="en-US" w:eastAsia="zh-CN"/>
        </w:rPr>
        <w:t>（一）依法注册并具有相应的从业能力；</w:t>
      </w:r>
    </w:p>
    <w:p>
      <w:pPr>
        <w:pStyle w:val="20"/>
        <w:rPr>
          <w:rFonts w:hint="eastAsia" w:ascii="宋体" w:hAnsi="宋体" w:eastAsia="宋体" w:cs="宋体"/>
        </w:rPr>
      </w:pPr>
      <w:r>
        <w:rPr>
          <w:rFonts w:hint="eastAsia" w:ascii="宋体" w:hAnsi="宋体" w:eastAsia="宋体" w:cs="宋体"/>
          <w:lang w:val="en-US" w:eastAsia="zh-CN"/>
        </w:rPr>
        <w:t>（二）良好的银行资信和财务状况及相应的偿还能力；</w:t>
      </w:r>
    </w:p>
    <w:p>
      <w:pPr>
        <w:pStyle w:val="20"/>
        <w:rPr>
          <w:rFonts w:hint="eastAsia" w:ascii="宋体" w:hAnsi="宋体" w:eastAsia="宋体" w:cs="宋体"/>
        </w:rPr>
      </w:pPr>
      <w:r>
        <w:rPr>
          <w:rFonts w:hint="eastAsia" w:ascii="宋体" w:hAnsi="宋体" w:eastAsia="宋体" w:cs="宋体"/>
          <w:lang w:val="en-US" w:eastAsia="zh-CN"/>
        </w:rPr>
        <w:t>（三）相应的注册资本和设备、设施；</w:t>
      </w:r>
    </w:p>
    <w:p>
      <w:pPr>
        <w:pStyle w:val="20"/>
        <w:rPr>
          <w:rFonts w:hint="eastAsia" w:ascii="宋体" w:hAnsi="宋体" w:eastAsia="宋体" w:cs="宋体"/>
        </w:rPr>
      </w:pPr>
      <w:r>
        <w:rPr>
          <w:rFonts w:hint="eastAsia" w:ascii="宋体" w:hAnsi="宋体" w:eastAsia="宋体" w:cs="宋体"/>
          <w:lang w:val="en-US" w:eastAsia="zh-CN"/>
        </w:rPr>
        <w:t>（四）技术、经营负责人具有相应从业经历和业绩，其他关键岗位人员具有相应的从业能力；</w:t>
      </w:r>
    </w:p>
    <w:p>
      <w:pPr>
        <w:pStyle w:val="20"/>
        <w:rPr>
          <w:rFonts w:hint="eastAsia" w:ascii="宋体" w:hAnsi="宋体" w:eastAsia="宋体" w:cs="宋体"/>
        </w:rPr>
      </w:pPr>
      <w:r>
        <w:rPr>
          <w:rFonts w:hint="eastAsia" w:ascii="宋体" w:hAnsi="宋体" w:eastAsia="宋体" w:cs="宋体"/>
          <w:lang w:val="en-US" w:eastAsia="zh-CN"/>
        </w:rPr>
        <w:t>（五）可行的经营方案。</w:t>
      </w:r>
    </w:p>
    <w:p>
      <w:pPr>
        <w:pStyle w:val="20"/>
        <w:rPr>
          <w:rFonts w:hint="eastAsia" w:ascii="宋体" w:hAnsi="宋体" w:eastAsia="宋体" w:cs="宋体"/>
        </w:rPr>
      </w:pPr>
      <w:r>
        <w:rPr>
          <w:rFonts w:hint="eastAsia" w:ascii="宋体" w:hAnsi="宋体" w:eastAsia="宋体" w:cs="宋体"/>
          <w:lang w:val="en-US" w:eastAsia="zh-CN"/>
        </w:rPr>
        <w:t>申请本办法第二条第（三）、（四）、（五）项特许经营的公民，应当具有相应的从业能力。</w:t>
      </w:r>
    </w:p>
    <w:p>
      <w:pPr>
        <w:pStyle w:val="20"/>
        <w:rPr>
          <w:rFonts w:hint="eastAsia" w:ascii="宋体" w:hAnsi="宋体" w:eastAsia="宋体" w:cs="宋体"/>
        </w:rPr>
      </w:pPr>
      <w:r>
        <w:rPr>
          <w:rFonts w:hint="eastAsia" w:ascii="宋体" w:hAnsi="宋体" w:eastAsia="宋体" w:cs="宋体"/>
          <w:lang w:val="en-US" w:eastAsia="zh-CN"/>
        </w:rPr>
        <w:t>第十二条　应当采用招标、拍卖等公平竞争的方式来确定特许经营者。</w:t>
      </w:r>
    </w:p>
    <w:p>
      <w:pPr>
        <w:pStyle w:val="20"/>
        <w:rPr>
          <w:rFonts w:hint="eastAsia" w:ascii="宋体" w:hAnsi="宋体" w:eastAsia="宋体" w:cs="宋体"/>
        </w:rPr>
      </w:pPr>
      <w:r>
        <w:rPr>
          <w:rFonts w:hint="eastAsia" w:ascii="宋体" w:hAnsi="宋体" w:eastAsia="宋体" w:cs="宋体"/>
          <w:lang w:val="en-US" w:eastAsia="zh-CN"/>
        </w:rPr>
        <w:t>采取招标方式的，按招标投标法定程序进行，中标结果应当在新闻媒体上公示10日；公示期满无异议的，应当及时签订特许经营协议。</w:t>
      </w:r>
    </w:p>
    <w:p>
      <w:pPr>
        <w:pStyle w:val="20"/>
        <w:rPr>
          <w:rFonts w:hint="eastAsia" w:ascii="宋体" w:hAnsi="宋体" w:eastAsia="宋体" w:cs="宋体"/>
        </w:rPr>
      </w:pPr>
      <w:r>
        <w:rPr>
          <w:rFonts w:hint="eastAsia" w:ascii="宋体" w:hAnsi="宋体" w:eastAsia="宋体" w:cs="宋体"/>
          <w:lang w:val="en-US" w:eastAsia="zh-CN"/>
        </w:rPr>
        <w:t>采取拍卖方式的，由依法设立的拍卖企业按法定程序进行。</w:t>
      </w:r>
    </w:p>
    <w:p>
      <w:pPr>
        <w:pStyle w:val="20"/>
        <w:rPr>
          <w:rFonts w:hint="eastAsia" w:ascii="宋体" w:hAnsi="宋体" w:eastAsia="宋体" w:cs="宋体"/>
        </w:rPr>
      </w:pPr>
      <w:r>
        <w:rPr>
          <w:rFonts w:hint="eastAsia" w:ascii="宋体" w:hAnsi="宋体" w:eastAsia="宋体" w:cs="宋体"/>
          <w:lang w:val="en-US" w:eastAsia="zh-CN"/>
        </w:rPr>
        <w:t>依法通过招标、拍卖方式不能确定特许经营者的，市、县人民政府在上级人民政府确定的建设行政主管部门或者其他有关行政主管部门指导、监督下，可以采取直接委托的方式授予经营权，并与经营者签订特许经营协议。</w:t>
      </w:r>
    </w:p>
    <w:p>
      <w:pPr>
        <w:pStyle w:val="20"/>
        <w:rPr>
          <w:rFonts w:hint="eastAsia" w:ascii="宋体" w:hAnsi="宋体" w:eastAsia="宋体" w:cs="宋体"/>
        </w:rPr>
      </w:pPr>
      <w:r>
        <w:rPr>
          <w:rFonts w:hint="eastAsia" w:ascii="宋体" w:hAnsi="宋体" w:eastAsia="宋体" w:cs="宋体"/>
          <w:lang w:val="en-US" w:eastAsia="zh-CN"/>
        </w:rPr>
        <w:t>第十三条　特许经营协议应当包括以下内容：</w:t>
      </w:r>
    </w:p>
    <w:p>
      <w:pPr>
        <w:pStyle w:val="20"/>
        <w:rPr>
          <w:rFonts w:hint="eastAsia" w:ascii="宋体" w:hAnsi="宋体" w:eastAsia="宋体" w:cs="宋体"/>
        </w:rPr>
      </w:pPr>
      <w:r>
        <w:rPr>
          <w:rFonts w:hint="eastAsia" w:ascii="宋体" w:hAnsi="宋体" w:eastAsia="宋体" w:cs="宋体"/>
          <w:lang w:val="en-US" w:eastAsia="zh-CN"/>
        </w:rPr>
        <w:t>（一）特许经营内容、区域、范围和期限；</w:t>
      </w:r>
    </w:p>
    <w:p>
      <w:pPr>
        <w:pStyle w:val="20"/>
        <w:rPr>
          <w:rFonts w:hint="eastAsia" w:ascii="宋体" w:hAnsi="宋体" w:eastAsia="宋体" w:cs="宋体"/>
        </w:rPr>
      </w:pPr>
      <w:r>
        <w:rPr>
          <w:rFonts w:hint="eastAsia" w:ascii="宋体" w:hAnsi="宋体" w:eastAsia="宋体" w:cs="宋体"/>
          <w:lang w:val="en-US" w:eastAsia="zh-CN"/>
        </w:rPr>
        <w:t>（二）产品和服务标准；</w:t>
      </w:r>
    </w:p>
    <w:p>
      <w:pPr>
        <w:pStyle w:val="20"/>
        <w:rPr>
          <w:rFonts w:hint="eastAsia" w:ascii="宋体" w:hAnsi="宋体" w:eastAsia="宋体" w:cs="宋体"/>
        </w:rPr>
      </w:pPr>
      <w:r>
        <w:rPr>
          <w:rFonts w:hint="eastAsia" w:ascii="宋体" w:hAnsi="宋体" w:eastAsia="宋体" w:cs="宋体"/>
          <w:lang w:val="en-US" w:eastAsia="zh-CN"/>
        </w:rPr>
        <w:t>（三）价格或者收费；</w:t>
      </w:r>
    </w:p>
    <w:p>
      <w:pPr>
        <w:pStyle w:val="20"/>
        <w:rPr>
          <w:rFonts w:hint="eastAsia" w:ascii="宋体" w:hAnsi="宋体" w:eastAsia="宋体" w:cs="宋体"/>
        </w:rPr>
      </w:pPr>
      <w:r>
        <w:rPr>
          <w:rFonts w:hint="eastAsia" w:ascii="宋体" w:hAnsi="宋体" w:eastAsia="宋体" w:cs="宋体"/>
          <w:lang w:val="en-US" w:eastAsia="zh-CN"/>
        </w:rPr>
        <w:t>（四）公用设施的权属与处置；</w:t>
      </w:r>
    </w:p>
    <w:p>
      <w:pPr>
        <w:pStyle w:val="20"/>
        <w:rPr>
          <w:rFonts w:hint="eastAsia" w:ascii="宋体" w:hAnsi="宋体" w:eastAsia="宋体" w:cs="宋体"/>
        </w:rPr>
      </w:pPr>
      <w:r>
        <w:rPr>
          <w:rFonts w:hint="eastAsia" w:ascii="宋体" w:hAnsi="宋体" w:eastAsia="宋体" w:cs="宋体"/>
          <w:lang w:val="en-US" w:eastAsia="zh-CN"/>
        </w:rPr>
        <w:t>（五）设施维护和更新改造；</w:t>
      </w:r>
    </w:p>
    <w:p>
      <w:pPr>
        <w:pStyle w:val="20"/>
        <w:rPr>
          <w:rFonts w:hint="eastAsia" w:ascii="宋体" w:hAnsi="宋体" w:eastAsia="宋体" w:cs="宋体"/>
        </w:rPr>
      </w:pPr>
      <w:r>
        <w:rPr>
          <w:rFonts w:hint="eastAsia" w:ascii="宋体" w:hAnsi="宋体" w:eastAsia="宋体" w:cs="宋体"/>
          <w:lang w:val="en-US" w:eastAsia="zh-CN"/>
        </w:rPr>
        <w:t>（六）安全管理责任；</w:t>
      </w:r>
    </w:p>
    <w:p>
      <w:pPr>
        <w:pStyle w:val="20"/>
        <w:rPr>
          <w:rFonts w:hint="eastAsia" w:ascii="宋体" w:hAnsi="宋体" w:eastAsia="宋体" w:cs="宋体"/>
        </w:rPr>
      </w:pPr>
      <w:r>
        <w:rPr>
          <w:rFonts w:hint="eastAsia" w:ascii="宋体" w:hAnsi="宋体" w:eastAsia="宋体" w:cs="宋体"/>
          <w:lang w:val="en-US" w:eastAsia="zh-CN"/>
        </w:rPr>
        <w:t>（七）履约担保；</w:t>
      </w:r>
    </w:p>
    <w:p>
      <w:pPr>
        <w:pStyle w:val="20"/>
        <w:rPr>
          <w:rFonts w:hint="eastAsia" w:ascii="宋体" w:hAnsi="宋体" w:eastAsia="宋体" w:cs="宋体"/>
        </w:rPr>
      </w:pPr>
      <w:r>
        <w:rPr>
          <w:rFonts w:hint="eastAsia" w:ascii="宋体" w:hAnsi="宋体" w:eastAsia="宋体" w:cs="宋体"/>
          <w:lang w:val="en-US" w:eastAsia="zh-CN"/>
        </w:rPr>
        <w:t>（八）经营权的终止和变更；</w:t>
      </w:r>
    </w:p>
    <w:p>
      <w:pPr>
        <w:pStyle w:val="20"/>
        <w:rPr>
          <w:rFonts w:hint="eastAsia" w:ascii="宋体" w:hAnsi="宋体" w:eastAsia="宋体" w:cs="宋体"/>
        </w:rPr>
      </w:pPr>
      <w:r>
        <w:rPr>
          <w:rFonts w:hint="eastAsia" w:ascii="宋体" w:hAnsi="宋体" w:eastAsia="宋体" w:cs="宋体"/>
          <w:lang w:val="en-US" w:eastAsia="zh-CN"/>
        </w:rPr>
        <w:t>（九）违约责任；</w:t>
      </w:r>
    </w:p>
    <w:p>
      <w:pPr>
        <w:pStyle w:val="20"/>
        <w:rPr>
          <w:rFonts w:hint="eastAsia" w:ascii="宋体" w:hAnsi="宋体" w:eastAsia="宋体" w:cs="宋体"/>
        </w:rPr>
      </w:pPr>
      <w:r>
        <w:rPr>
          <w:rFonts w:hint="eastAsia" w:ascii="宋体" w:hAnsi="宋体" w:eastAsia="宋体" w:cs="宋体"/>
          <w:lang w:val="en-US" w:eastAsia="zh-CN"/>
        </w:rPr>
        <w:t>（十）特许经营权的收回；</w:t>
      </w:r>
    </w:p>
    <w:p>
      <w:pPr>
        <w:pStyle w:val="20"/>
        <w:rPr>
          <w:rFonts w:hint="eastAsia" w:ascii="宋体" w:hAnsi="宋体" w:eastAsia="宋体" w:cs="宋体"/>
        </w:rPr>
      </w:pPr>
      <w:r>
        <w:rPr>
          <w:rFonts w:hint="eastAsia" w:ascii="宋体" w:hAnsi="宋体" w:eastAsia="宋体" w:cs="宋体"/>
          <w:lang w:val="en-US" w:eastAsia="zh-CN"/>
        </w:rPr>
        <w:t>（十一）争议解决方式；</w:t>
      </w:r>
    </w:p>
    <w:p>
      <w:pPr>
        <w:pStyle w:val="20"/>
        <w:rPr>
          <w:rFonts w:hint="eastAsia" w:ascii="宋体" w:hAnsi="宋体" w:eastAsia="宋体" w:cs="宋体"/>
        </w:rPr>
      </w:pPr>
      <w:r>
        <w:rPr>
          <w:rFonts w:hint="eastAsia" w:ascii="宋体" w:hAnsi="宋体" w:eastAsia="宋体" w:cs="宋体"/>
          <w:lang w:val="en-US" w:eastAsia="zh-CN"/>
        </w:rPr>
        <w:t>（十二）双方认为应当约定的其他事项。</w:t>
      </w:r>
    </w:p>
    <w:p>
      <w:pPr>
        <w:pStyle w:val="20"/>
        <w:rPr>
          <w:rFonts w:hint="eastAsia" w:ascii="宋体" w:hAnsi="宋体" w:eastAsia="宋体" w:cs="宋体"/>
        </w:rPr>
      </w:pPr>
      <w:r>
        <w:rPr>
          <w:rFonts w:hint="eastAsia" w:ascii="宋体" w:hAnsi="宋体" w:eastAsia="宋体" w:cs="宋体"/>
          <w:lang w:val="en-US" w:eastAsia="zh-CN"/>
        </w:rPr>
        <w:t>第十四条　取得特许经营权的经营者，应当按规定支付市政公用事业特许经营权使用费。微利或者公益性的特许经营项目，可以减免特许经营权使用费。</w:t>
      </w:r>
    </w:p>
    <w:p>
      <w:pPr>
        <w:pStyle w:val="20"/>
        <w:rPr>
          <w:rFonts w:hint="eastAsia" w:ascii="宋体" w:hAnsi="宋体" w:eastAsia="宋体" w:cs="宋体"/>
        </w:rPr>
      </w:pPr>
      <w:r>
        <w:rPr>
          <w:rFonts w:hint="eastAsia" w:ascii="宋体" w:hAnsi="宋体" w:eastAsia="宋体" w:cs="宋体"/>
          <w:lang w:val="en-US" w:eastAsia="zh-CN"/>
        </w:rPr>
        <w:t>特许经营权使用费纳入地方财政基金预算，专项用于市政公用设施建设。涉及国有资产使用或者处置的，按国有资产管理的有关规定办理。</w:t>
      </w:r>
    </w:p>
    <w:p>
      <w:pPr>
        <w:pStyle w:val="20"/>
        <w:rPr>
          <w:rFonts w:hint="eastAsia" w:ascii="宋体" w:hAnsi="宋体" w:eastAsia="宋体" w:cs="宋体"/>
        </w:rPr>
      </w:pPr>
      <w:r>
        <w:rPr>
          <w:rFonts w:hint="eastAsia" w:ascii="宋体" w:hAnsi="宋体" w:eastAsia="宋体" w:cs="宋体"/>
          <w:lang w:val="en-US" w:eastAsia="zh-CN"/>
        </w:rPr>
        <w:t>第十五条　特许经营者应当在特许经营协议规定的范围内从事特许经营业务，按照特许经营协议的约定提供市政公用事业产品或者服务。</w:t>
      </w:r>
    </w:p>
    <w:p>
      <w:pPr>
        <w:pStyle w:val="20"/>
        <w:rPr>
          <w:rFonts w:hint="eastAsia" w:ascii="宋体" w:hAnsi="宋体" w:eastAsia="宋体" w:cs="宋体"/>
        </w:rPr>
      </w:pPr>
      <w:r>
        <w:rPr>
          <w:rFonts w:hint="eastAsia" w:ascii="宋体" w:hAnsi="宋体" w:eastAsia="宋体" w:cs="宋体"/>
          <w:lang w:val="en-US" w:eastAsia="zh-CN"/>
        </w:rPr>
        <w:t>第十六条　特许经营者在经营期间有下列情形之一的，授权主体应当责令限期改正，依法采取临时接管等措施督促其履行义务：</w:t>
      </w:r>
    </w:p>
    <w:p>
      <w:pPr>
        <w:pStyle w:val="20"/>
        <w:rPr>
          <w:rFonts w:hint="eastAsia" w:ascii="宋体" w:hAnsi="宋体" w:eastAsia="宋体" w:cs="宋体"/>
        </w:rPr>
      </w:pPr>
      <w:r>
        <w:rPr>
          <w:rFonts w:hint="eastAsia" w:ascii="宋体" w:hAnsi="宋体" w:eastAsia="宋体" w:cs="宋体"/>
          <w:lang w:val="en-US" w:eastAsia="zh-CN"/>
        </w:rPr>
        <w:t>（一）擅自转让、出租特许经营权的；</w:t>
      </w:r>
    </w:p>
    <w:p>
      <w:pPr>
        <w:pStyle w:val="20"/>
        <w:rPr>
          <w:rFonts w:hint="eastAsia" w:ascii="宋体" w:hAnsi="宋体" w:eastAsia="宋体" w:cs="宋体"/>
        </w:rPr>
      </w:pPr>
      <w:r>
        <w:rPr>
          <w:rFonts w:hint="eastAsia" w:ascii="宋体" w:hAnsi="宋体" w:eastAsia="宋体" w:cs="宋体"/>
          <w:lang w:val="en-US" w:eastAsia="zh-CN"/>
        </w:rPr>
        <w:t>（二）擅自将所经营的市政公用设施进行处置或者抵押的；</w:t>
      </w:r>
    </w:p>
    <w:p>
      <w:pPr>
        <w:pStyle w:val="20"/>
        <w:rPr>
          <w:rFonts w:hint="eastAsia" w:ascii="宋体" w:hAnsi="宋体" w:eastAsia="宋体" w:cs="宋体"/>
        </w:rPr>
      </w:pPr>
      <w:r>
        <w:rPr>
          <w:rFonts w:hint="eastAsia" w:ascii="宋体" w:hAnsi="宋体" w:eastAsia="宋体" w:cs="宋体"/>
          <w:lang w:val="en-US" w:eastAsia="zh-CN"/>
        </w:rPr>
        <w:t>（三）因经营管理不善，财务状况严重恶化，危及市政公用事业运行的；</w:t>
      </w:r>
    </w:p>
    <w:p>
      <w:pPr>
        <w:pStyle w:val="20"/>
        <w:rPr>
          <w:rFonts w:hint="eastAsia" w:ascii="宋体" w:hAnsi="宋体" w:eastAsia="宋体" w:cs="宋体"/>
        </w:rPr>
      </w:pPr>
      <w:r>
        <w:rPr>
          <w:rFonts w:hint="eastAsia" w:ascii="宋体" w:hAnsi="宋体" w:eastAsia="宋体" w:cs="宋体"/>
          <w:lang w:val="en-US" w:eastAsia="zh-CN"/>
        </w:rPr>
        <w:t>（四）擅自停业、歇业影响公共利益和公共安全的。</w:t>
      </w:r>
    </w:p>
    <w:p>
      <w:pPr>
        <w:pStyle w:val="20"/>
        <w:rPr>
          <w:rFonts w:hint="eastAsia" w:ascii="宋体" w:hAnsi="宋体" w:eastAsia="宋体" w:cs="宋体"/>
        </w:rPr>
      </w:pPr>
      <w:r>
        <w:rPr>
          <w:rFonts w:hint="eastAsia" w:ascii="宋体" w:hAnsi="宋体" w:eastAsia="宋体" w:cs="宋体"/>
          <w:lang w:val="en-US" w:eastAsia="zh-CN"/>
        </w:rPr>
        <w:t>第十七条　特许经营期间，因不可抗力，致使无法正常经营时，特许经营者可以向授权主体提出申请；经批准，可以提前终止特许经营权。</w:t>
      </w:r>
    </w:p>
    <w:p>
      <w:pPr>
        <w:pStyle w:val="20"/>
        <w:rPr>
          <w:rFonts w:hint="eastAsia" w:ascii="宋体" w:hAnsi="宋体" w:eastAsia="宋体" w:cs="宋体"/>
        </w:rPr>
      </w:pPr>
      <w:r>
        <w:rPr>
          <w:rFonts w:hint="eastAsia" w:ascii="宋体" w:hAnsi="宋体" w:eastAsia="宋体" w:cs="宋体"/>
          <w:lang w:val="en-US" w:eastAsia="zh-CN"/>
        </w:rPr>
        <w:t>第十八条　特许经营权被实施临时接管或者提前终止后，原特许经营者应当在授权主体规定的时间内，将维持特许经营业务正常运作所需的资产和档案，在正常运行情况下移交授权主体指定的单位。在指定的单位完成接管前，特许经营者应当按授权主体的要求，履行职责，维持正常的经营业务。</w:t>
      </w:r>
    </w:p>
    <w:p>
      <w:pPr>
        <w:pStyle w:val="20"/>
        <w:rPr>
          <w:rFonts w:hint="eastAsia" w:ascii="宋体" w:hAnsi="宋体" w:eastAsia="宋体" w:cs="宋体"/>
          <w:lang w:val="en-US" w:eastAsia="zh-CN"/>
        </w:rPr>
      </w:pPr>
      <w:r>
        <w:rPr>
          <w:rFonts w:hint="eastAsia" w:ascii="宋体" w:hAnsi="宋体" w:eastAsia="宋体" w:cs="宋体"/>
          <w:lang w:val="en-US" w:eastAsia="zh-CN"/>
        </w:rPr>
        <w:t>第十九条　特许经营协议期限届满后，应当按照本办法第十二条的规定重新选择特许经营者。在同等条件下，原特许经营者应当优先取得特许经营权。</w:t>
      </w:r>
    </w:p>
    <w:p>
      <w:pPr>
        <w:pStyle w:val="20"/>
        <w:rPr>
          <w:rFonts w:hint="eastAsia" w:ascii="宋体" w:hAnsi="宋体" w:eastAsia="宋体" w:cs="宋体"/>
          <w:lang w:val="en-US" w:eastAsia="zh-CN"/>
        </w:rPr>
      </w:pPr>
    </w:p>
    <w:p>
      <w:pPr>
        <w:pStyle w:val="20"/>
        <w:rPr>
          <w:rFonts w:hint="eastAsia" w:ascii="宋体" w:hAnsi="宋体" w:eastAsia="宋体" w:cs="宋体"/>
          <w:b/>
          <w:bCs/>
        </w:rPr>
      </w:pPr>
      <w:r>
        <w:rPr>
          <w:rFonts w:hint="eastAsia" w:ascii="宋体" w:hAnsi="宋体" w:eastAsia="宋体" w:cs="宋体"/>
          <w:b/>
          <w:bCs/>
        </w:rPr>
        <w:t>第三章　监督管理</w:t>
      </w:r>
    </w:p>
    <w:p>
      <w:pPr>
        <w:pStyle w:val="20"/>
        <w:rPr>
          <w:rFonts w:hint="eastAsia" w:ascii="宋体" w:hAnsi="宋体" w:eastAsia="宋体" w:cs="宋体"/>
        </w:rPr>
      </w:pPr>
      <w:r>
        <w:rPr>
          <w:rFonts w:hint="eastAsia" w:ascii="宋体" w:hAnsi="宋体" w:eastAsia="宋体" w:cs="宋体"/>
          <w:lang w:val="en-US" w:eastAsia="zh-CN"/>
        </w:rPr>
        <w:t>第二十条　授权主体应当履行下列职责：</w:t>
      </w:r>
    </w:p>
    <w:p>
      <w:pPr>
        <w:pStyle w:val="20"/>
        <w:rPr>
          <w:rFonts w:hint="eastAsia" w:ascii="宋体" w:hAnsi="宋体" w:eastAsia="宋体" w:cs="宋体"/>
        </w:rPr>
      </w:pPr>
      <w:r>
        <w:rPr>
          <w:rFonts w:hint="eastAsia" w:ascii="宋体" w:hAnsi="宋体" w:eastAsia="宋体" w:cs="宋体"/>
          <w:lang w:val="en-US" w:eastAsia="zh-CN"/>
        </w:rPr>
        <w:t>（一）负责组织特许经营权的招标、拍卖；</w:t>
      </w:r>
    </w:p>
    <w:p>
      <w:pPr>
        <w:pStyle w:val="20"/>
        <w:rPr>
          <w:rFonts w:hint="eastAsia" w:ascii="宋体" w:hAnsi="宋体" w:eastAsia="宋体" w:cs="宋体"/>
        </w:rPr>
      </w:pPr>
      <w:r>
        <w:rPr>
          <w:rFonts w:hint="eastAsia" w:ascii="宋体" w:hAnsi="宋体" w:eastAsia="宋体" w:cs="宋体"/>
          <w:lang w:val="en-US" w:eastAsia="zh-CN"/>
        </w:rPr>
        <w:t>（二）组织有关行政机关制定产品、服务质量评价标准；</w:t>
      </w:r>
    </w:p>
    <w:p>
      <w:pPr>
        <w:pStyle w:val="20"/>
        <w:rPr>
          <w:rFonts w:hint="eastAsia" w:ascii="宋体" w:hAnsi="宋体" w:eastAsia="宋体" w:cs="宋体"/>
        </w:rPr>
      </w:pPr>
      <w:r>
        <w:rPr>
          <w:rFonts w:hint="eastAsia" w:ascii="宋体" w:hAnsi="宋体" w:eastAsia="宋体" w:cs="宋体"/>
          <w:lang w:val="en-US" w:eastAsia="zh-CN"/>
        </w:rPr>
        <w:t>（三）监督特许经营者履行法定义务和特许经营协议，督促特许经营者经营计划的实施；</w:t>
      </w:r>
    </w:p>
    <w:p>
      <w:pPr>
        <w:pStyle w:val="20"/>
        <w:rPr>
          <w:rFonts w:hint="eastAsia" w:ascii="宋体" w:hAnsi="宋体" w:eastAsia="宋体" w:cs="宋体"/>
        </w:rPr>
      </w:pPr>
      <w:r>
        <w:rPr>
          <w:rFonts w:hint="eastAsia" w:ascii="宋体" w:hAnsi="宋体" w:eastAsia="宋体" w:cs="宋体"/>
          <w:lang w:val="en-US" w:eastAsia="zh-CN"/>
        </w:rPr>
        <w:t>（四）受理对特许经理者的投诉；</w:t>
      </w:r>
    </w:p>
    <w:p>
      <w:pPr>
        <w:pStyle w:val="20"/>
        <w:rPr>
          <w:rFonts w:hint="eastAsia" w:ascii="宋体" w:hAnsi="宋体" w:eastAsia="宋体" w:cs="宋体"/>
        </w:rPr>
      </w:pPr>
      <w:r>
        <w:rPr>
          <w:rFonts w:hint="eastAsia" w:ascii="宋体" w:hAnsi="宋体" w:eastAsia="宋体" w:cs="宋体"/>
          <w:lang w:val="en-US" w:eastAsia="zh-CN"/>
        </w:rPr>
        <w:t>（五）向上一级行政机关提交年度特许经营监督检查报告；</w:t>
      </w:r>
    </w:p>
    <w:p>
      <w:pPr>
        <w:pStyle w:val="20"/>
        <w:rPr>
          <w:rFonts w:hint="eastAsia" w:ascii="宋体" w:hAnsi="宋体" w:eastAsia="宋体" w:cs="宋体"/>
        </w:rPr>
      </w:pPr>
      <w:r>
        <w:rPr>
          <w:rFonts w:hint="eastAsia" w:ascii="宋体" w:hAnsi="宋体" w:eastAsia="宋体" w:cs="宋体"/>
          <w:lang w:val="en-US" w:eastAsia="zh-CN"/>
        </w:rPr>
        <w:t>（六）建立特许经营项目评估制度，制定临时接管应急制度。</w:t>
      </w:r>
    </w:p>
    <w:p>
      <w:pPr>
        <w:pStyle w:val="20"/>
        <w:rPr>
          <w:rFonts w:hint="eastAsia" w:ascii="宋体" w:hAnsi="宋体" w:eastAsia="宋体" w:cs="宋体"/>
        </w:rPr>
      </w:pPr>
      <w:r>
        <w:rPr>
          <w:rFonts w:hint="eastAsia" w:ascii="宋体" w:hAnsi="宋体" w:eastAsia="宋体" w:cs="宋体"/>
          <w:lang w:val="en-US" w:eastAsia="zh-CN"/>
        </w:rPr>
        <w:t>第二十一条　特许经营者应当履行下列责任：</w:t>
      </w:r>
    </w:p>
    <w:p>
      <w:pPr>
        <w:pStyle w:val="20"/>
        <w:rPr>
          <w:rFonts w:hint="eastAsia" w:ascii="宋体" w:hAnsi="宋体" w:eastAsia="宋体" w:cs="宋体"/>
        </w:rPr>
      </w:pPr>
      <w:r>
        <w:rPr>
          <w:rFonts w:hint="eastAsia" w:ascii="宋体" w:hAnsi="宋体" w:eastAsia="宋体" w:cs="宋体"/>
          <w:lang w:val="en-US" w:eastAsia="zh-CN"/>
        </w:rPr>
        <w:t>（一）制定企业年度生产、供应计划；</w:t>
      </w:r>
    </w:p>
    <w:p>
      <w:pPr>
        <w:pStyle w:val="20"/>
        <w:rPr>
          <w:rFonts w:hint="eastAsia" w:ascii="宋体" w:hAnsi="宋体" w:eastAsia="宋体" w:cs="宋体"/>
        </w:rPr>
      </w:pPr>
      <w:r>
        <w:rPr>
          <w:rFonts w:hint="eastAsia" w:ascii="宋体" w:hAnsi="宋体" w:eastAsia="宋体" w:cs="宋体"/>
          <w:lang w:val="en-US" w:eastAsia="zh-CN"/>
        </w:rPr>
        <w:t>（二）按照国家规定的服务标准和资费标准，向用户提供安全、方便、稳定和价格合理的产品和服务；</w:t>
      </w:r>
    </w:p>
    <w:p>
      <w:pPr>
        <w:pStyle w:val="20"/>
        <w:rPr>
          <w:rFonts w:hint="eastAsia" w:ascii="宋体" w:hAnsi="宋体" w:eastAsia="宋体" w:cs="宋体"/>
        </w:rPr>
      </w:pPr>
      <w:r>
        <w:rPr>
          <w:rFonts w:hint="eastAsia" w:ascii="宋体" w:hAnsi="宋体" w:eastAsia="宋体" w:cs="宋体"/>
          <w:lang w:val="en-US" w:eastAsia="zh-CN"/>
        </w:rPr>
        <w:t>（三）履行特许经营协议，为社会提供符合标准的产品和服务；</w:t>
      </w:r>
    </w:p>
    <w:p>
      <w:pPr>
        <w:pStyle w:val="20"/>
        <w:rPr>
          <w:rFonts w:hint="eastAsia" w:ascii="宋体" w:hAnsi="宋体" w:eastAsia="宋体" w:cs="宋体"/>
        </w:rPr>
      </w:pPr>
      <w:r>
        <w:rPr>
          <w:rFonts w:hint="eastAsia" w:ascii="宋体" w:hAnsi="宋体" w:eastAsia="宋体" w:cs="宋体"/>
          <w:lang w:val="en-US" w:eastAsia="zh-CN"/>
        </w:rPr>
        <w:t>（四）接受有关行政机关对产品和服务质量的监督检查；</w:t>
      </w:r>
    </w:p>
    <w:p>
      <w:pPr>
        <w:pStyle w:val="20"/>
        <w:rPr>
          <w:rFonts w:hint="eastAsia" w:ascii="宋体" w:hAnsi="宋体" w:eastAsia="宋体" w:cs="宋体"/>
        </w:rPr>
      </w:pPr>
      <w:r>
        <w:rPr>
          <w:rFonts w:hint="eastAsia" w:ascii="宋体" w:hAnsi="宋体" w:eastAsia="宋体" w:cs="宋体"/>
          <w:lang w:val="en-US" w:eastAsia="zh-CN"/>
        </w:rPr>
        <w:t>（五）按时将中长期发展规划、年度经营计划、年度报告、董事会决议、董事会成员和主要管理人员的变更等报授权主体备案；</w:t>
      </w:r>
    </w:p>
    <w:p>
      <w:pPr>
        <w:pStyle w:val="20"/>
        <w:rPr>
          <w:rFonts w:hint="eastAsia" w:ascii="宋体" w:hAnsi="宋体" w:eastAsia="宋体" w:cs="宋体"/>
        </w:rPr>
      </w:pPr>
      <w:r>
        <w:rPr>
          <w:rFonts w:hint="eastAsia" w:ascii="宋体" w:hAnsi="宋体" w:eastAsia="宋体" w:cs="宋体"/>
          <w:lang w:val="en-US" w:eastAsia="zh-CN"/>
        </w:rPr>
        <w:t>（六）定期对生产设施、设备进行运行维护和更新改造，保证生产设施、设备良好运转。</w:t>
      </w:r>
    </w:p>
    <w:p>
      <w:pPr>
        <w:pStyle w:val="20"/>
        <w:rPr>
          <w:rFonts w:hint="eastAsia" w:ascii="宋体" w:hAnsi="宋体" w:eastAsia="宋体" w:cs="宋体"/>
        </w:rPr>
      </w:pPr>
      <w:r>
        <w:rPr>
          <w:rFonts w:hint="eastAsia" w:ascii="宋体" w:hAnsi="宋体" w:eastAsia="宋体" w:cs="宋体"/>
          <w:lang w:val="en-US" w:eastAsia="zh-CN"/>
        </w:rPr>
        <w:t>第二十二条　价格主管部门在合理配置资源和保证社会公共利益的前提下，根据行业平均成本，兼顾特许经营者合理利润，确定市政公用事业产品和服务的价格或者收费标准。</w:t>
      </w:r>
    </w:p>
    <w:p>
      <w:pPr>
        <w:pStyle w:val="20"/>
        <w:rPr>
          <w:rFonts w:hint="eastAsia" w:ascii="宋体" w:hAnsi="宋体" w:eastAsia="宋体" w:cs="宋体"/>
          <w:b/>
          <w:bCs/>
        </w:rPr>
      </w:pPr>
    </w:p>
    <w:p>
      <w:pPr>
        <w:pStyle w:val="20"/>
        <w:rPr>
          <w:rFonts w:hint="eastAsia" w:ascii="宋体" w:hAnsi="宋体" w:eastAsia="宋体" w:cs="宋体"/>
        </w:rPr>
      </w:pPr>
      <w:r>
        <w:rPr>
          <w:rFonts w:hint="eastAsia" w:ascii="宋体" w:hAnsi="宋体" w:eastAsia="宋体" w:cs="宋体"/>
          <w:b/>
          <w:bCs/>
        </w:rPr>
        <w:t>第四章　法律责任</w:t>
      </w:r>
    </w:p>
    <w:p>
      <w:pPr>
        <w:pStyle w:val="20"/>
        <w:rPr>
          <w:rFonts w:hint="eastAsia" w:ascii="宋体" w:hAnsi="宋体" w:eastAsia="宋体" w:cs="宋体"/>
        </w:rPr>
      </w:pPr>
      <w:r>
        <w:rPr>
          <w:rFonts w:hint="eastAsia" w:ascii="宋体" w:hAnsi="宋体" w:eastAsia="宋体" w:cs="宋体"/>
          <w:lang w:val="en-US" w:eastAsia="zh-CN"/>
        </w:rPr>
        <w:t>第二十三条　特许经营者有下列情形之一的，由市、县人民政府确定的建设行政主管部门或者其他有关行政主管部门责令限期改正，并处以1万元以上3万元以下罚款：</w:t>
      </w:r>
    </w:p>
    <w:p>
      <w:pPr>
        <w:pStyle w:val="20"/>
        <w:rPr>
          <w:rFonts w:hint="eastAsia" w:ascii="宋体" w:hAnsi="宋体" w:eastAsia="宋体" w:cs="宋体"/>
        </w:rPr>
      </w:pPr>
      <w:r>
        <w:rPr>
          <w:rFonts w:hint="eastAsia" w:ascii="宋体" w:hAnsi="宋体" w:eastAsia="宋体" w:cs="宋体"/>
          <w:lang w:val="en-US" w:eastAsia="zh-CN"/>
        </w:rPr>
        <w:t>（一）未经授权或者超越特许经营协议约定范围，从事特许经营的；</w:t>
      </w:r>
    </w:p>
    <w:p>
      <w:pPr>
        <w:pStyle w:val="20"/>
        <w:rPr>
          <w:rFonts w:hint="eastAsia" w:ascii="宋体" w:hAnsi="宋体" w:eastAsia="宋体" w:cs="宋体"/>
        </w:rPr>
      </w:pPr>
      <w:r>
        <w:rPr>
          <w:rFonts w:hint="eastAsia" w:ascii="宋体" w:hAnsi="宋体" w:eastAsia="宋体" w:cs="宋体"/>
          <w:lang w:val="en-US" w:eastAsia="zh-CN"/>
        </w:rPr>
        <w:t>（二）不按照特许经营协议的约定提供市政公用事业产品或者服务，损害公众利益的；</w:t>
      </w:r>
    </w:p>
    <w:p>
      <w:pPr>
        <w:pStyle w:val="20"/>
        <w:rPr>
          <w:rFonts w:hint="eastAsia" w:ascii="宋体" w:hAnsi="宋体" w:eastAsia="宋体" w:cs="宋体"/>
        </w:rPr>
      </w:pPr>
      <w:r>
        <w:rPr>
          <w:rFonts w:hint="eastAsia" w:ascii="宋体" w:hAnsi="宋体" w:eastAsia="宋体" w:cs="宋体"/>
          <w:lang w:val="en-US" w:eastAsia="zh-CN"/>
        </w:rPr>
        <w:t>（三）擅自转让、出租特许经营权的；</w:t>
      </w:r>
    </w:p>
    <w:p>
      <w:pPr>
        <w:pStyle w:val="20"/>
        <w:rPr>
          <w:rFonts w:hint="eastAsia" w:ascii="宋体" w:hAnsi="宋体" w:eastAsia="宋体" w:cs="宋体"/>
        </w:rPr>
      </w:pPr>
      <w:r>
        <w:rPr>
          <w:rFonts w:hint="eastAsia" w:ascii="宋体" w:hAnsi="宋体" w:eastAsia="宋体" w:cs="宋体"/>
          <w:lang w:val="en-US" w:eastAsia="zh-CN"/>
        </w:rPr>
        <w:t>（四）擅自将所经营的市政公用设施进行处置或者抵押的；</w:t>
      </w:r>
    </w:p>
    <w:p>
      <w:pPr>
        <w:pStyle w:val="20"/>
        <w:rPr>
          <w:rFonts w:hint="eastAsia" w:ascii="宋体" w:hAnsi="宋体" w:eastAsia="宋体" w:cs="宋体"/>
        </w:rPr>
      </w:pPr>
      <w:r>
        <w:rPr>
          <w:rFonts w:hint="eastAsia" w:ascii="宋体" w:hAnsi="宋体" w:eastAsia="宋体" w:cs="宋体"/>
          <w:lang w:val="en-US" w:eastAsia="zh-CN"/>
        </w:rPr>
        <w:t>（五）擅自停业、歇业影响公共利益和公共安全的。</w:t>
      </w:r>
    </w:p>
    <w:p>
      <w:pPr>
        <w:pStyle w:val="20"/>
        <w:rPr>
          <w:rFonts w:hint="eastAsia" w:ascii="宋体" w:hAnsi="宋体" w:eastAsia="宋体" w:cs="宋体"/>
        </w:rPr>
      </w:pPr>
      <w:r>
        <w:rPr>
          <w:rFonts w:hint="eastAsia" w:ascii="宋体" w:hAnsi="宋体" w:eastAsia="宋体" w:cs="宋体"/>
          <w:lang w:val="en-US" w:eastAsia="zh-CN"/>
        </w:rPr>
        <w:t>第二十四条　授权主体有下列情形之一的，由其上级行政机关或者监察机关责令改正；尚未构成犯罪的，对直接负责的主管人员和其他直接责任人员依法给予行政处分：</w:t>
      </w:r>
    </w:p>
    <w:p>
      <w:pPr>
        <w:pStyle w:val="20"/>
        <w:rPr>
          <w:rFonts w:hint="eastAsia" w:ascii="宋体" w:hAnsi="宋体" w:eastAsia="宋体" w:cs="宋体"/>
        </w:rPr>
      </w:pPr>
      <w:r>
        <w:rPr>
          <w:rFonts w:hint="eastAsia" w:ascii="宋体" w:hAnsi="宋体" w:eastAsia="宋体" w:cs="宋体"/>
          <w:lang w:val="en-US" w:eastAsia="zh-CN"/>
        </w:rPr>
        <w:t>（一）对不符合法定条件的申请人授予特许经营权或者超越法定职权授予特许经营权的；</w:t>
      </w:r>
    </w:p>
    <w:p>
      <w:pPr>
        <w:pStyle w:val="20"/>
        <w:rPr>
          <w:rFonts w:hint="eastAsia" w:ascii="宋体" w:hAnsi="宋体" w:eastAsia="宋体" w:cs="宋体"/>
        </w:rPr>
      </w:pPr>
      <w:r>
        <w:rPr>
          <w:rFonts w:hint="eastAsia" w:ascii="宋体" w:hAnsi="宋体" w:eastAsia="宋体" w:cs="宋体"/>
          <w:lang w:val="en-US" w:eastAsia="zh-CN"/>
        </w:rPr>
        <w:t>（二）未经招标、拍卖或者不根据招标、拍卖结果择优选择特许经营者的。</w:t>
      </w:r>
    </w:p>
    <w:p>
      <w:pPr>
        <w:pStyle w:val="20"/>
        <w:rPr>
          <w:rFonts w:hint="eastAsia" w:ascii="宋体" w:hAnsi="宋体" w:eastAsia="宋体" w:cs="宋体"/>
        </w:rPr>
      </w:pPr>
      <w:r>
        <w:rPr>
          <w:rFonts w:hint="eastAsia" w:ascii="宋体" w:hAnsi="宋体" w:eastAsia="宋体" w:cs="宋体"/>
          <w:lang w:val="en-US" w:eastAsia="zh-CN"/>
        </w:rPr>
        <w:t>第二十五条　有关行政机关不依法履行监督职责或者监督不力，造成严重后果的，由其上级行政机关或者监察机关责令改正；尚未构成犯罪的，对直接负责的主管人员和其他直接责任人员依法给予行政处分。</w:t>
      </w:r>
    </w:p>
    <w:p>
      <w:pPr>
        <w:pStyle w:val="20"/>
        <w:rPr>
          <w:rFonts w:hint="eastAsia" w:ascii="宋体" w:hAnsi="宋体" w:eastAsia="宋体" w:cs="宋体"/>
          <w:lang w:val="en-US" w:eastAsia="zh-CN"/>
        </w:rPr>
      </w:pPr>
      <w:r>
        <w:rPr>
          <w:rFonts w:hint="eastAsia" w:ascii="宋体" w:hAnsi="宋体" w:eastAsia="宋体" w:cs="宋体"/>
          <w:lang w:val="en-US" w:eastAsia="zh-CN"/>
        </w:rPr>
        <w:t>第二十六条　行政机关工作人员在特许经营授权和实施监督检查过程中，索取或者收受他人财物或者谋取其他利益，尚不构成犯罪的，依法给予行政处分。</w:t>
      </w:r>
    </w:p>
    <w:p>
      <w:pPr>
        <w:pStyle w:val="20"/>
        <w:rPr>
          <w:rFonts w:hint="eastAsia" w:ascii="宋体" w:hAnsi="宋体" w:eastAsia="宋体" w:cs="宋体"/>
          <w:lang w:val="en-US" w:eastAsia="zh-CN"/>
        </w:rPr>
      </w:pPr>
    </w:p>
    <w:p>
      <w:pPr>
        <w:pStyle w:val="20"/>
        <w:rPr>
          <w:rFonts w:hint="eastAsia" w:ascii="宋体" w:hAnsi="宋体" w:eastAsia="宋体" w:cs="宋体"/>
          <w:b/>
          <w:bCs/>
        </w:rPr>
      </w:pPr>
      <w:r>
        <w:rPr>
          <w:rFonts w:hint="eastAsia" w:ascii="宋体" w:hAnsi="宋体" w:eastAsia="宋体" w:cs="宋体"/>
          <w:b/>
          <w:bCs/>
        </w:rPr>
        <w:t>第五章　附则</w:t>
      </w:r>
    </w:p>
    <w:p>
      <w:pPr>
        <w:pStyle w:val="20"/>
        <w:rPr>
          <w:rFonts w:hint="eastAsia" w:ascii="宋体" w:hAnsi="宋体" w:eastAsia="宋体" w:cs="宋体"/>
        </w:rPr>
      </w:pPr>
      <w:r>
        <w:rPr>
          <w:rFonts w:hint="eastAsia" w:ascii="宋体" w:hAnsi="宋体" w:eastAsia="宋体" w:cs="宋体"/>
          <w:lang w:val="en-US" w:eastAsia="zh-CN"/>
        </w:rPr>
        <w:t>第二十七条　本办法自2004年10月1日起施行。</w:t>
      </w:r>
    </w:p>
    <w:p>
      <w:pPr>
        <w:pStyle w:val="20"/>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FA61F5"/>
    <w:rsid w:val="172E5427"/>
    <w:rsid w:val="17EE545F"/>
    <w:rsid w:val="19453DBA"/>
    <w:rsid w:val="198860F9"/>
    <w:rsid w:val="1B0A3499"/>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554162F"/>
    <w:rsid w:val="656E2D54"/>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bdr w:val="none" w:color="auto" w:sz="0" w:space="0"/>
    </w:rPr>
  </w:style>
  <w:style w:type="character" w:customStyle="1" w:styleId="72">
    <w:name w:val="lan"/>
    <w:basedOn w:val="7"/>
    <w:uiPriority w:val="0"/>
    <w:rPr>
      <w:strike/>
    </w:rPr>
  </w:style>
  <w:style w:type="character" w:customStyle="1" w:styleId="73">
    <w:name w:val="first-child"/>
    <w:basedOn w:val="7"/>
    <w:uiPriority w:val="0"/>
    <w:rPr>
      <w:bdr w:val="none" w:color="auto" w:sz="0" w:space="0"/>
    </w:rPr>
  </w:style>
  <w:style w:type="character" w:customStyle="1" w:styleId="74">
    <w:name w:val="first-child1"/>
    <w:basedOn w:val="7"/>
    <w:uiPriority w:val="0"/>
    <w:rPr>
      <w:bdr w:val="single" w:color="E4E3E3" w:sz="6" w:space="0"/>
    </w:rPr>
  </w:style>
  <w:style w:type="character" w:customStyle="1" w:styleId="75">
    <w:name w:val="first-child2"/>
    <w:basedOn w:val="7"/>
    <w:uiPriority w:val="0"/>
    <w:rPr>
      <w:b/>
      <w:color w:val="DE5833"/>
      <w:sz w:val="21"/>
      <w:szCs w:val="21"/>
    </w:rPr>
  </w:style>
  <w:style w:type="character" w:customStyle="1" w:styleId="76">
    <w:name w:val="first-child3"/>
    <w:basedOn w:val="7"/>
    <w:uiPriority w:val="0"/>
    <w:rPr>
      <w:bdr w:val="none" w:color="auto" w:sz="0" w:space="0"/>
    </w:rPr>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rPr>
      <w:bdr w:val="none" w:color="auto" w:sz="0" w:space="0"/>
    </w:rPr>
  </w:style>
  <w:style w:type="character" w:customStyle="1" w:styleId="80">
    <w:name w:val="first-child7"/>
    <w:basedOn w:val="7"/>
    <w:uiPriority w:val="0"/>
    <w:rPr>
      <w:bdr w:val="single" w:color="E4E3E3" w:sz="6" w:space="0"/>
    </w:rPr>
  </w:style>
  <w:style w:type="character" w:customStyle="1" w:styleId="81">
    <w:name w:val="first-child8"/>
    <w:basedOn w:val="7"/>
    <w:uiPriority w:val="0"/>
    <w:rPr>
      <w:bdr w:val="none" w:color="auto" w:sz="0" w:space="0"/>
    </w:rPr>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uiPriority w:val="0"/>
    <w:rPr>
      <w:shd w:val="clear" w:fill="FF6600"/>
    </w:rPr>
  </w:style>
  <w:style w:type="character" w:customStyle="1" w:styleId="102">
    <w:name w:val="modify_click"/>
    <w:basedOn w:val="7"/>
    <w:uiPriority w:val="0"/>
    <w:rPr>
      <w:color w:val="FFFFFF"/>
      <w:bdr w:val="none" w:color="auto" w:sz="0" w:space="0"/>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bdr w:val="none" w:color="auto" w:sz="0" w:space="0"/>
      <w:shd w:val="clear" w:fill="FFFFFF"/>
    </w:rPr>
  </w:style>
  <w:style w:type="character" w:customStyle="1" w:styleId="106">
    <w:name w:val="more6"/>
    <w:basedOn w:val="7"/>
    <w:uiPriority w:val="0"/>
  </w:style>
  <w:style w:type="character" w:customStyle="1" w:styleId="107">
    <w:name w:val="split"/>
    <w:basedOn w:val="7"/>
    <w:uiPriority w:val="0"/>
    <w:rPr>
      <w:bdr w:val="none" w:color="auto" w:sz="0" w:space="0"/>
    </w:rPr>
  </w:style>
  <w:style w:type="character" w:customStyle="1" w:styleId="108">
    <w:name w:val="count7"/>
    <w:basedOn w:val="7"/>
    <w:uiPriority w:val="0"/>
    <w:rPr>
      <w:color w:val="DB550C"/>
      <w:sz w:val="18"/>
      <w:szCs w:val="18"/>
      <w:bdr w:val="none" w:color="auto" w:sz="0" w:space="0"/>
    </w:rPr>
  </w:style>
  <w:style w:type="character" w:customStyle="1" w:styleId="109">
    <w:name w:val="count8"/>
    <w:basedOn w:val="7"/>
    <w:uiPriority w:val="0"/>
    <w:rPr>
      <w:color w:val="FF6600"/>
    </w:rPr>
  </w:style>
  <w:style w:type="character" w:customStyle="1" w:styleId="110">
    <w:name w:val="gj"/>
    <w:basedOn w:val="7"/>
    <w:uiPriority w:val="0"/>
    <w:rPr>
      <w:color w:val="FFF600"/>
      <w:bdr w:val="none" w:color="auto" w:sz="0" w:space="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bdr w:val="none" w:color="auto" w:sz="0" w:space="0"/>
    </w:rPr>
  </w:style>
  <w:style w:type="character" w:customStyle="1" w:styleId="114">
    <w:name w:val="add"/>
    <w:basedOn w:val="7"/>
    <w:uiPriority w:val="0"/>
    <w:rPr>
      <w:rFonts w:hint="eastAsia" w:ascii="宋体" w:hAnsi="宋体" w:eastAsia="宋体" w:cs="宋体"/>
      <w:color w:val="006BB6"/>
      <w:sz w:val="21"/>
      <w:szCs w:val="21"/>
      <w:bdr w:val="none" w:color="auto" w:sz="0" w:space="0"/>
    </w:rPr>
  </w:style>
  <w:style w:type="character" w:customStyle="1" w:styleId="115">
    <w:name w:val="info15"/>
    <w:basedOn w:val="7"/>
    <w:uiPriority w:val="0"/>
    <w:rPr>
      <w:rFonts w:hint="eastAsia" w:ascii="宋体" w:hAnsi="宋体" w:eastAsia="宋体" w:cs="宋体"/>
      <w:color w:val="006BB6"/>
      <w:sz w:val="21"/>
      <w:szCs w:val="21"/>
      <w:bdr w:val="none" w:color="auto" w:sz="0" w:space="0"/>
    </w:rPr>
  </w:style>
  <w:style w:type="character" w:customStyle="1" w:styleId="116">
    <w:name w:val="info25"/>
    <w:basedOn w:val="7"/>
    <w:uiPriority w:val="0"/>
    <w:rPr>
      <w:rFonts w:hint="eastAsia" w:ascii="宋体" w:hAnsi="宋体" w:eastAsia="宋体" w:cs="宋体"/>
      <w:color w:val="006BB6"/>
      <w:sz w:val="21"/>
      <w:szCs w:val="21"/>
      <w:bdr w:val="none" w:color="auto" w:sz="0" w:space="0"/>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bdr w:val="none" w:color="auto" w:sz="0" w:space="0"/>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spanright"/>
    <w:basedOn w:val="7"/>
    <w:uiPriority w:val="0"/>
  </w:style>
  <w:style w:type="character" w:customStyle="1" w:styleId="131">
    <w:name w:val="spanright1"/>
    <w:basedOn w:val="7"/>
    <w:uiPriority w:val="0"/>
    <w:rPr>
      <w:color w:val="666666"/>
      <w:sz w:val="18"/>
      <w:szCs w:val="18"/>
    </w:rPr>
  </w:style>
  <w:style w:type="character" w:customStyle="1" w:styleId="132">
    <w:name w:val="spanright2"/>
    <w:basedOn w:val="7"/>
    <w:uiPriority w:val="0"/>
  </w:style>
  <w:style w:type="character" w:customStyle="1" w:styleId="133">
    <w:name w:val="spanright3"/>
    <w:basedOn w:val="7"/>
    <w:uiPriority w:val="0"/>
    <w:rPr>
      <w:color w:val="666666"/>
      <w:sz w:val="18"/>
      <w:szCs w:val="18"/>
    </w:rPr>
  </w:style>
  <w:style w:type="character" w:customStyle="1" w:styleId="134">
    <w:name w:val="spanleft"/>
    <w:basedOn w:val="7"/>
    <w:uiPriority w:val="0"/>
  </w:style>
  <w:style w:type="character" w:customStyle="1" w:styleId="135">
    <w:name w:val="spanleft1"/>
    <w:basedOn w:val="7"/>
    <w:uiPriority w:val="0"/>
  </w:style>
  <w:style w:type="character" w:customStyle="1" w:styleId="136">
    <w:name w:val="spanright_69"/>
    <w:basedOn w:val="7"/>
    <w:uiPriority w:val="0"/>
    <w:rPr>
      <w:color w:val="666666"/>
      <w:sz w:val="18"/>
      <w:szCs w:val="18"/>
    </w:rPr>
  </w:style>
  <w:style w:type="character" w:customStyle="1" w:styleId="137">
    <w:name w:val="span_left"/>
    <w:basedOn w:val="7"/>
    <w:uiPriority w:val="0"/>
    <w:rPr>
      <w:color w:val="666666"/>
      <w:sz w:val="18"/>
      <w:szCs w:val="18"/>
    </w:rPr>
  </w:style>
  <w:style w:type="character" w:customStyle="1" w:styleId="138">
    <w:name w:val="spantitle6"/>
    <w:basedOn w:val="7"/>
    <w:uiPriority w:val="0"/>
    <w:rPr>
      <w:b/>
      <w:color w:val="000000"/>
      <w:sz w:val="21"/>
      <w:szCs w:val="21"/>
    </w:rPr>
  </w:style>
  <w:style w:type="character" w:customStyle="1" w:styleId="139">
    <w:name w:val="spantitle7"/>
    <w:basedOn w:val="7"/>
    <w:uiPriority w:val="0"/>
    <w:rPr>
      <w:b/>
      <w:color w:val="000000"/>
      <w:sz w:val="21"/>
      <w:szCs w:val="21"/>
    </w:rPr>
  </w:style>
  <w:style w:type="character" w:customStyle="1" w:styleId="140">
    <w:name w:val="spantitle8"/>
    <w:basedOn w:val="7"/>
    <w:uiPriority w:val="0"/>
    <w:rPr>
      <w:b/>
      <w:color w:val="FFFFFF"/>
    </w:rPr>
  </w:style>
  <w:style w:type="character" w:customStyle="1" w:styleId="141">
    <w:name w:val="spantitle9"/>
    <w:basedOn w:val="7"/>
    <w:uiPriority w:val="0"/>
    <w:rPr>
      <w:b/>
      <w:color w:val="000000"/>
      <w:sz w:val="21"/>
      <w:szCs w:val="21"/>
    </w:rPr>
  </w:style>
  <w:style w:type="character" w:customStyle="1" w:styleId="142">
    <w:name w:val="spanmore"/>
    <w:basedOn w:val="7"/>
    <w:uiPriority w:val="0"/>
  </w:style>
  <w:style w:type="character" w:customStyle="1" w:styleId="143">
    <w:name w:val="spanmore1"/>
    <w:basedOn w:val="7"/>
    <w:uiPriority w:val="0"/>
  </w:style>
  <w:style w:type="character" w:customStyle="1" w:styleId="144">
    <w:name w:val="spanmore2"/>
    <w:basedOn w:val="7"/>
    <w:uiPriority w:val="0"/>
  </w:style>
  <w:style w:type="character" w:customStyle="1" w:styleId="145">
    <w:name w:val="spanmore3"/>
    <w:basedOn w:val="7"/>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uiPriority w:val="0"/>
    <w:rPr>
      <w:color w:val="666666"/>
      <w:sz w:val="18"/>
      <w:szCs w:val="18"/>
    </w:rPr>
  </w:style>
  <w:style w:type="character" w:customStyle="1" w:styleId="151">
    <w:name w:val="spanright_80"/>
    <w:basedOn w:val="7"/>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2016-08-09T02:02:22Z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