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bookmarkStart w:id="0" w:name="_GoBack"/>
      <w:r>
        <w:rPr>
          <w:rFonts w:hint="eastAsia"/>
          <w:b/>
          <w:bCs/>
          <w:lang w:val="en-US" w:eastAsia="zh-CN"/>
        </w:rPr>
        <w:t>东莞市市政公用事业特许经营办法</w:t>
      </w:r>
    </w:p>
    <w:bookmarkEnd w:id="0"/>
    <w:p>
      <w:pPr>
        <w:rPr>
          <w:rFonts w:hint="eastAsia"/>
          <w:lang w:val="en-US" w:eastAsia="zh-CN"/>
        </w:rPr>
      </w:pPr>
      <w:r>
        <w:rPr>
          <w:rFonts w:hint="eastAsia"/>
          <w:lang w:val="en-US" w:eastAsia="zh-CN"/>
        </w:rPr>
        <w:t>第一条　为推进市政公用事业市场化进程，扩大融资渠道，确保向广大群众提供优质的公共产品和服务，维护投资者、经营者和消费者的合法权益，根据国家有关法律、法规和规章的规定，结合我市实际，制定本办法。</w:t>
      </w:r>
    </w:p>
    <w:p>
      <w:pPr>
        <w:rPr>
          <w:rFonts w:hint="eastAsia"/>
          <w:lang w:val="en-US" w:eastAsia="zh-CN"/>
        </w:rPr>
      </w:pPr>
      <w:r>
        <w:rPr>
          <w:rFonts w:hint="eastAsia"/>
          <w:lang w:val="en-US" w:eastAsia="zh-CN"/>
        </w:rPr>
        <w:t>第二条　本办法所称市政公用事业特许经营，是指市人民政府按照有关法律、法规规定，通过市场竞争机制选择市政公用事业投资者或者经营者，明确其在一定期限和范围内经营某项市政公用事业产品或者提供某项服务的制度。</w:t>
      </w:r>
    </w:p>
    <w:p>
      <w:pPr>
        <w:rPr>
          <w:rFonts w:hint="eastAsia"/>
          <w:lang w:val="en-US" w:eastAsia="zh-CN"/>
        </w:rPr>
      </w:pPr>
      <w:r>
        <w:rPr>
          <w:rFonts w:hint="eastAsia"/>
          <w:lang w:val="en-US" w:eastAsia="zh-CN"/>
        </w:rPr>
        <w:t>下列市政公用事业项目可以实行特许经营：</w:t>
      </w:r>
    </w:p>
    <w:p>
      <w:pPr>
        <w:rPr>
          <w:rFonts w:hint="eastAsia"/>
          <w:lang w:val="en-US" w:eastAsia="zh-CN"/>
        </w:rPr>
      </w:pPr>
      <w:r>
        <w:rPr>
          <w:rFonts w:hint="eastAsia"/>
          <w:lang w:val="en-US" w:eastAsia="zh-CN"/>
        </w:rPr>
        <w:t>（一）供水、供气；</w:t>
      </w:r>
    </w:p>
    <w:p>
      <w:pPr>
        <w:rPr>
          <w:rFonts w:hint="eastAsia"/>
          <w:lang w:val="en-US" w:eastAsia="zh-CN"/>
        </w:rPr>
      </w:pPr>
      <w:r>
        <w:rPr>
          <w:rFonts w:hint="eastAsia"/>
          <w:lang w:val="en-US" w:eastAsia="zh-CN"/>
        </w:rPr>
        <w:t>（二）污水和固体废物处理；</w:t>
      </w:r>
    </w:p>
    <w:p>
      <w:pPr>
        <w:rPr>
          <w:rFonts w:hint="eastAsia"/>
          <w:lang w:val="en-US" w:eastAsia="zh-CN"/>
        </w:rPr>
      </w:pPr>
      <w:r>
        <w:rPr>
          <w:rFonts w:hint="eastAsia"/>
          <w:lang w:val="en-US" w:eastAsia="zh-CN"/>
        </w:rPr>
        <w:t>（三）公共交通；</w:t>
      </w:r>
    </w:p>
    <w:p>
      <w:pPr>
        <w:rPr>
          <w:rFonts w:hint="eastAsia"/>
          <w:lang w:val="en-US" w:eastAsia="zh-CN"/>
        </w:rPr>
      </w:pPr>
      <w:r>
        <w:rPr>
          <w:rFonts w:hint="eastAsia"/>
          <w:lang w:val="en-US" w:eastAsia="zh-CN"/>
        </w:rPr>
        <w:t>（四）城市绿化、环境卫生；</w:t>
      </w:r>
    </w:p>
    <w:p>
      <w:pPr>
        <w:rPr>
          <w:rFonts w:hint="eastAsia"/>
          <w:lang w:val="en-US" w:eastAsia="zh-CN"/>
        </w:rPr>
      </w:pPr>
      <w:r>
        <w:rPr>
          <w:rFonts w:hint="eastAsia"/>
          <w:lang w:val="en-US" w:eastAsia="zh-CN"/>
        </w:rPr>
        <w:t>（五）市政府确定的其他市政项目。</w:t>
      </w:r>
    </w:p>
    <w:p>
      <w:pPr>
        <w:rPr>
          <w:rFonts w:hint="eastAsia"/>
          <w:lang w:val="en-US" w:eastAsia="zh-CN"/>
        </w:rPr>
      </w:pPr>
      <w:r>
        <w:rPr>
          <w:rFonts w:hint="eastAsia"/>
          <w:lang w:val="en-US" w:eastAsia="zh-CN"/>
        </w:rPr>
        <w:t>第三条　市政公用事业特许经营可以采取下列方式：</w:t>
      </w:r>
    </w:p>
    <w:p>
      <w:pPr>
        <w:rPr>
          <w:rFonts w:hint="eastAsia"/>
          <w:lang w:val="en-US" w:eastAsia="zh-CN"/>
        </w:rPr>
      </w:pPr>
      <w:r>
        <w:rPr>
          <w:rFonts w:hint="eastAsia"/>
          <w:lang w:val="en-US" w:eastAsia="zh-CN"/>
        </w:rPr>
        <w:t>（一）在一定期限内，将新建、扩建和改造的项目授予特许经营者投资、建设、运营，期限届满无偿移交；</w:t>
      </w:r>
    </w:p>
    <w:p>
      <w:pPr>
        <w:rPr>
          <w:rFonts w:hint="eastAsia"/>
          <w:lang w:val="en-US" w:eastAsia="zh-CN"/>
        </w:rPr>
      </w:pPr>
      <w:r>
        <w:rPr>
          <w:rFonts w:hint="eastAsia"/>
          <w:lang w:val="en-US" w:eastAsia="zh-CN"/>
        </w:rPr>
        <w:t>（二）在一定期限内，将市政公用设施移交特许经营者运营，期限届满无偿移交；</w:t>
      </w:r>
    </w:p>
    <w:p>
      <w:pPr>
        <w:rPr>
          <w:rFonts w:hint="eastAsia"/>
          <w:lang w:val="en-US" w:eastAsia="zh-CN"/>
        </w:rPr>
      </w:pPr>
      <w:r>
        <w:rPr>
          <w:rFonts w:hint="eastAsia"/>
          <w:lang w:val="en-US" w:eastAsia="zh-CN"/>
        </w:rPr>
        <w:t>（三）在一定期限内，将公共服务委托特许经营者负责提供。</w:t>
      </w:r>
    </w:p>
    <w:p>
      <w:pPr>
        <w:rPr>
          <w:rFonts w:hint="eastAsia"/>
          <w:lang w:val="en-US" w:eastAsia="zh-CN"/>
        </w:rPr>
      </w:pPr>
      <w:r>
        <w:rPr>
          <w:rFonts w:hint="eastAsia"/>
          <w:lang w:val="en-US" w:eastAsia="zh-CN"/>
        </w:rPr>
        <w:t>除以上方式外，根据市政公用事业项目自身特点，经市人民政府同意，也可以采取其他方式实施特许经营。</w:t>
      </w:r>
    </w:p>
    <w:p>
      <w:pPr>
        <w:rPr>
          <w:rFonts w:hint="eastAsia"/>
          <w:lang w:val="en-US" w:eastAsia="zh-CN"/>
        </w:rPr>
      </w:pPr>
      <w:r>
        <w:rPr>
          <w:rFonts w:hint="eastAsia"/>
          <w:lang w:val="en-US" w:eastAsia="zh-CN"/>
        </w:rPr>
        <w:t>特许经营期限应根据行业特点、规模、经营方式等因素确定，最长不得超过30年。</w:t>
      </w:r>
    </w:p>
    <w:p>
      <w:pPr>
        <w:rPr>
          <w:rFonts w:hint="eastAsia"/>
          <w:lang w:val="en-US" w:eastAsia="zh-CN"/>
        </w:rPr>
      </w:pPr>
      <w:r>
        <w:rPr>
          <w:rFonts w:hint="eastAsia"/>
          <w:lang w:val="en-US" w:eastAsia="zh-CN"/>
        </w:rPr>
        <w:t>第四条　中华人民共和国境内外符合条件的企业和其它组织，均可平等参与竞争获得本市市政公用事业的特许经营权（以下简称特许权）。</w:t>
      </w:r>
    </w:p>
    <w:p>
      <w:pPr>
        <w:rPr>
          <w:rFonts w:hint="eastAsia"/>
          <w:lang w:val="en-US" w:eastAsia="zh-CN"/>
        </w:rPr>
      </w:pPr>
      <w:r>
        <w:rPr>
          <w:rFonts w:hint="eastAsia"/>
          <w:lang w:val="en-US" w:eastAsia="zh-CN"/>
        </w:rPr>
        <w:t>第五条 授予特许权应当遵循公平、公正、公开和公共利益优先、合理布局、有效配置资源的原则。</w:t>
      </w:r>
    </w:p>
    <w:p>
      <w:pPr>
        <w:rPr>
          <w:rFonts w:hint="eastAsia"/>
          <w:lang w:val="en-US" w:eastAsia="zh-CN"/>
        </w:rPr>
      </w:pPr>
      <w:r>
        <w:rPr>
          <w:rFonts w:hint="eastAsia"/>
          <w:lang w:val="en-US" w:eastAsia="zh-CN"/>
        </w:rPr>
        <w:t>第六条 实施特许经营的市政公用事业项目（以下简称特许项目）根据城市建设发展需要和市政公用事业建设规划确定。具体项目由该项目的行业主管部门会同其他有关部门提出，报市人民政府批准。</w:t>
      </w:r>
    </w:p>
    <w:p>
      <w:pPr>
        <w:rPr>
          <w:rFonts w:hint="eastAsia"/>
          <w:lang w:val="en-US" w:eastAsia="zh-CN"/>
        </w:rPr>
      </w:pPr>
      <w:r>
        <w:rPr>
          <w:rFonts w:hint="eastAsia"/>
          <w:lang w:val="en-US" w:eastAsia="zh-CN"/>
        </w:rPr>
        <w:t>第七条　特许项目确定后，由行业主管部门拟定实施方案，并组织财政、物价、规划、国土等有关部门依照各自职责对实施方案审查修改后，报请市人民政府批准实施。</w:t>
      </w:r>
    </w:p>
    <w:p>
      <w:pPr>
        <w:rPr>
          <w:rFonts w:hint="eastAsia"/>
          <w:lang w:val="en-US" w:eastAsia="zh-CN"/>
        </w:rPr>
      </w:pPr>
      <w:r>
        <w:rPr>
          <w:rFonts w:hint="eastAsia"/>
          <w:lang w:val="en-US" w:eastAsia="zh-CN"/>
        </w:rPr>
        <w:t>实施方案应当包括下列内容：</w:t>
      </w:r>
    </w:p>
    <w:p>
      <w:pPr>
        <w:rPr>
          <w:rFonts w:hint="eastAsia"/>
          <w:lang w:val="en-US" w:eastAsia="zh-CN"/>
        </w:rPr>
      </w:pPr>
      <w:r>
        <w:rPr>
          <w:rFonts w:hint="eastAsia"/>
          <w:lang w:val="en-US" w:eastAsia="zh-CN"/>
        </w:rPr>
        <w:t>（一）项目名称；</w:t>
      </w:r>
    </w:p>
    <w:p>
      <w:pPr>
        <w:rPr>
          <w:rFonts w:hint="eastAsia"/>
          <w:lang w:val="en-US" w:eastAsia="zh-CN"/>
        </w:rPr>
      </w:pPr>
      <w:r>
        <w:rPr>
          <w:rFonts w:hint="eastAsia"/>
          <w:lang w:val="en-US" w:eastAsia="zh-CN"/>
        </w:rPr>
        <w:t>（二）项目基本经济技术指标；</w:t>
      </w:r>
    </w:p>
    <w:p>
      <w:pPr>
        <w:rPr>
          <w:rFonts w:hint="eastAsia"/>
          <w:lang w:val="en-US" w:eastAsia="zh-CN"/>
        </w:rPr>
      </w:pPr>
      <w:r>
        <w:rPr>
          <w:rFonts w:hint="eastAsia"/>
          <w:lang w:val="en-US" w:eastAsia="zh-CN"/>
        </w:rPr>
        <w:t>（三）选址和其他规划条件；</w:t>
      </w:r>
    </w:p>
    <w:p>
      <w:pPr>
        <w:rPr>
          <w:rFonts w:hint="eastAsia"/>
          <w:lang w:val="en-US" w:eastAsia="zh-CN"/>
        </w:rPr>
      </w:pPr>
      <w:r>
        <w:rPr>
          <w:rFonts w:hint="eastAsia"/>
          <w:lang w:val="en-US" w:eastAsia="zh-CN"/>
        </w:rPr>
        <w:t>（四）特许期限；</w:t>
      </w:r>
    </w:p>
    <w:p>
      <w:pPr>
        <w:rPr>
          <w:rFonts w:hint="eastAsia"/>
          <w:lang w:val="en-US" w:eastAsia="zh-CN"/>
        </w:rPr>
      </w:pPr>
      <w:r>
        <w:rPr>
          <w:rFonts w:hint="eastAsia"/>
          <w:lang w:val="en-US" w:eastAsia="zh-CN"/>
        </w:rPr>
        <w:t>（五）投资回报、物价及其测算；</w:t>
      </w:r>
    </w:p>
    <w:p>
      <w:pPr>
        <w:rPr>
          <w:rFonts w:hint="eastAsia"/>
          <w:lang w:val="en-US" w:eastAsia="zh-CN"/>
        </w:rPr>
      </w:pPr>
      <w:r>
        <w:rPr>
          <w:rFonts w:hint="eastAsia"/>
          <w:lang w:val="en-US" w:eastAsia="zh-CN"/>
        </w:rPr>
        <w:t>（六）经营者应当具备的条件及选择方式；</w:t>
      </w:r>
    </w:p>
    <w:p>
      <w:pPr>
        <w:rPr>
          <w:rFonts w:hint="eastAsia"/>
          <w:lang w:val="en-US" w:eastAsia="zh-CN"/>
        </w:rPr>
      </w:pPr>
      <w:r>
        <w:rPr>
          <w:rFonts w:hint="eastAsia"/>
          <w:lang w:val="en-US" w:eastAsia="zh-CN"/>
        </w:rPr>
        <w:t>（七）政府承诺；</w:t>
      </w:r>
    </w:p>
    <w:p>
      <w:pPr>
        <w:rPr>
          <w:rFonts w:hint="eastAsia"/>
          <w:lang w:val="en-US" w:eastAsia="zh-CN"/>
        </w:rPr>
      </w:pPr>
      <w:r>
        <w:rPr>
          <w:rFonts w:hint="eastAsia"/>
          <w:lang w:val="en-US" w:eastAsia="zh-CN"/>
        </w:rPr>
        <w:t>（八）保障措施；</w:t>
      </w:r>
    </w:p>
    <w:p>
      <w:pPr>
        <w:rPr>
          <w:rFonts w:hint="eastAsia"/>
          <w:lang w:val="en-US" w:eastAsia="zh-CN"/>
        </w:rPr>
      </w:pPr>
      <w:r>
        <w:rPr>
          <w:rFonts w:hint="eastAsia"/>
          <w:lang w:val="en-US" w:eastAsia="zh-CN"/>
        </w:rPr>
        <w:t>（九）特许权使用费及其减免；</w:t>
      </w:r>
    </w:p>
    <w:p>
      <w:pPr>
        <w:rPr>
          <w:rFonts w:hint="eastAsia"/>
          <w:lang w:val="en-US" w:eastAsia="zh-CN"/>
        </w:rPr>
      </w:pPr>
      <w:r>
        <w:rPr>
          <w:rFonts w:hint="eastAsia"/>
          <w:lang w:val="en-US" w:eastAsia="zh-CN"/>
        </w:rPr>
        <w:t>（十）负责实施的单位。</w:t>
      </w:r>
    </w:p>
    <w:p>
      <w:pPr>
        <w:rPr>
          <w:rFonts w:hint="eastAsia"/>
          <w:lang w:val="en-US" w:eastAsia="zh-CN"/>
        </w:rPr>
      </w:pPr>
      <w:r>
        <w:rPr>
          <w:rFonts w:hint="eastAsia"/>
          <w:lang w:val="en-US" w:eastAsia="zh-CN"/>
        </w:rPr>
        <w:t>第八条　特许经营者可以通过下列方式取得回报：</w:t>
      </w:r>
    </w:p>
    <w:p>
      <w:pPr>
        <w:rPr>
          <w:rFonts w:hint="eastAsia"/>
          <w:lang w:val="en-US" w:eastAsia="zh-CN"/>
        </w:rPr>
      </w:pPr>
      <w:r>
        <w:rPr>
          <w:rFonts w:hint="eastAsia"/>
          <w:lang w:val="en-US" w:eastAsia="zh-CN"/>
        </w:rPr>
        <w:t>（一）对提供的公共产品和服务收费；</w:t>
      </w:r>
    </w:p>
    <w:p>
      <w:pPr>
        <w:rPr>
          <w:rFonts w:hint="eastAsia"/>
          <w:lang w:val="en-US" w:eastAsia="zh-CN"/>
        </w:rPr>
      </w:pPr>
      <w:r>
        <w:rPr>
          <w:rFonts w:hint="eastAsia"/>
          <w:lang w:val="en-US" w:eastAsia="zh-CN"/>
        </w:rPr>
        <w:t>（二）享有与市政公用事业相关的其它开发经营权益；</w:t>
      </w:r>
    </w:p>
    <w:p>
      <w:pPr>
        <w:rPr>
          <w:rFonts w:hint="eastAsia"/>
          <w:lang w:val="en-US" w:eastAsia="zh-CN"/>
        </w:rPr>
      </w:pPr>
      <w:r>
        <w:rPr>
          <w:rFonts w:hint="eastAsia"/>
          <w:lang w:val="en-US" w:eastAsia="zh-CN"/>
        </w:rPr>
        <w:t>（三）享有政府给予的相应补贴；</w:t>
      </w:r>
    </w:p>
    <w:p>
      <w:pPr>
        <w:rPr>
          <w:rFonts w:hint="eastAsia"/>
          <w:lang w:val="en-US" w:eastAsia="zh-CN"/>
        </w:rPr>
      </w:pPr>
      <w:r>
        <w:rPr>
          <w:rFonts w:hint="eastAsia"/>
          <w:lang w:val="en-US" w:eastAsia="zh-CN"/>
        </w:rPr>
        <w:t>（四）市人民政府同意的其它方式。</w:t>
      </w:r>
    </w:p>
    <w:p>
      <w:pPr>
        <w:rPr>
          <w:rFonts w:hint="eastAsia"/>
          <w:lang w:val="en-US" w:eastAsia="zh-CN"/>
        </w:rPr>
      </w:pPr>
      <w:r>
        <w:rPr>
          <w:rFonts w:hint="eastAsia"/>
          <w:lang w:val="en-US" w:eastAsia="zh-CN"/>
        </w:rPr>
        <w:t>第九条　政府承诺可以涉及与特许项目相关的土地使用、防止不必要的重复性竞争项目建设、必要的补贴，但不承诺商业风险分担、固定投资回报率及法律、法规禁止的其他事项。</w:t>
      </w:r>
    </w:p>
    <w:p>
      <w:pPr>
        <w:rPr>
          <w:rFonts w:hint="eastAsia"/>
          <w:lang w:val="en-US" w:eastAsia="zh-CN"/>
        </w:rPr>
      </w:pPr>
      <w:r>
        <w:rPr>
          <w:rFonts w:hint="eastAsia"/>
          <w:lang w:val="en-US" w:eastAsia="zh-CN"/>
        </w:rPr>
        <w:t>第十条　特许权使用费的标准由市人民政府根据特许项目的行业特点确定，对于微利或者享受财政补贴的特许项目，可以减免特许权使用费，公益性服务由政府提供补助。</w:t>
      </w:r>
    </w:p>
    <w:p>
      <w:pPr>
        <w:rPr>
          <w:rFonts w:hint="eastAsia"/>
          <w:lang w:val="en-US" w:eastAsia="zh-CN"/>
        </w:rPr>
      </w:pPr>
      <w:r>
        <w:rPr>
          <w:rFonts w:hint="eastAsia"/>
          <w:lang w:val="en-US" w:eastAsia="zh-CN"/>
        </w:rPr>
        <w:t>第十一条　特许项目及其实施方案经市人民政府批准后，由行业主管部门发布推介项目的公告。</w:t>
      </w:r>
    </w:p>
    <w:p>
      <w:pPr>
        <w:rPr>
          <w:rFonts w:hint="eastAsia"/>
          <w:lang w:val="en-US" w:eastAsia="zh-CN"/>
        </w:rPr>
      </w:pPr>
      <w:r>
        <w:rPr>
          <w:rFonts w:hint="eastAsia"/>
          <w:lang w:val="en-US" w:eastAsia="zh-CN"/>
        </w:rPr>
        <w:t>第十二条 特许权通过招投标的方式授予。参与特许权竞标者应当具备以下条件：</w:t>
      </w:r>
    </w:p>
    <w:p>
      <w:pPr>
        <w:rPr>
          <w:rFonts w:hint="eastAsia"/>
          <w:lang w:val="en-US" w:eastAsia="zh-CN"/>
        </w:rPr>
      </w:pPr>
      <w:r>
        <w:rPr>
          <w:rFonts w:hint="eastAsia"/>
          <w:lang w:val="en-US" w:eastAsia="zh-CN"/>
        </w:rPr>
        <w:t>（一）依法注册的企业法人和其它组织；</w:t>
      </w:r>
    </w:p>
    <w:p>
      <w:pPr>
        <w:rPr>
          <w:rFonts w:hint="eastAsia"/>
          <w:lang w:val="en-US" w:eastAsia="zh-CN"/>
        </w:rPr>
      </w:pPr>
      <w:r>
        <w:rPr>
          <w:rFonts w:hint="eastAsia"/>
          <w:lang w:val="en-US" w:eastAsia="zh-CN"/>
        </w:rPr>
        <w:t>（二）有相应的注册资本金和设施、设备；</w:t>
      </w:r>
    </w:p>
    <w:p>
      <w:pPr>
        <w:rPr>
          <w:rFonts w:hint="eastAsia"/>
          <w:lang w:val="en-US" w:eastAsia="zh-CN"/>
        </w:rPr>
      </w:pPr>
      <w:r>
        <w:rPr>
          <w:rFonts w:hint="eastAsia"/>
          <w:lang w:val="en-US" w:eastAsia="zh-CN"/>
        </w:rPr>
        <w:t>（三）有良好的银行资信、财务状况及相应的偿债能力；</w:t>
      </w:r>
    </w:p>
    <w:p>
      <w:pPr>
        <w:rPr>
          <w:rFonts w:hint="eastAsia"/>
          <w:lang w:val="en-US" w:eastAsia="zh-CN"/>
        </w:rPr>
      </w:pPr>
      <w:r>
        <w:rPr>
          <w:rFonts w:hint="eastAsia"/>
          <w:lang w:val="en-US" w:eastAsia="zh-CN"/>
        </w:rPr>
        <w:t>（四）有相应的从业经历和良好的业绩；</w:t>
      </w:r>
    </w:p>
    <w:p>
      <w:pPr>
        <w:rPr>
          <w:rFonts w:hint="eastAsia"/>
          <w:lang w:val="en-US" w:eastAsia="zh-CN"/>
        </w:rPr>
      </w:pPr>
      <w:r>
        <w:rPr>
          <w:rFonts w:hint="eastAsia"/>
          <w:lang w:val="en-US" w:eastAsia="zh-CN"/>
        </w:rPr>
        <w:t>（五）有相应数量的技术、财务、经营等关键岗位的人员；</w:t>
      </w:r>
    </w:p>
    <w:p>
      <w:pPr>
        <w:rPr>
          <w:rFonts w:hint="eastAsia"/>
          <w:lang w:val="en-US" w:eastAsia="zh-CN"/>
        </w:rPr>
      </w:pPr>
      <w:r>
        <w:rPr>
          <w:rFonts w:hint="eastAsia"/>
          <w:lang w:val="en-US" w:eastAsia="zh-CN"/>
        </w:rPr>
        <w:t>（六）有切实可行的经营方案；</w:t>
      </w:r>
    </w:p>
    <w:p>
      <w:pPr>
        <w:rPr>
          <w:rFonts w:hint="eastAsia"/>
          <w:lang w:val="en-US" w:eastAsia="zh-CN"/>
        </w:rPr>
      </w:pPr>
      <w:r>
        <w:rPr>
          <w:rFonts w:hint="eastAsia"/>
          <w:lang w:val="en-US" w:eastAsia="zh-CN"/>
        </w:rPr>
        <w:t>（七）法律、法规、规章等规定的其他条件。</w:t>
      </w:r>
    </w:p>
    <w:p>
      <w:pPr>
        <w:rPr>
          <w:rFonts w:hint="eastAsia"/>
          <w:lang w:val="en-US" w:eastAsia="zh-CN"/>
        </w:rPr>
      </w:pPr>
      <w:r>
        <w:rPr>
          <w:rFonts w:hint="eastAsia"/>
          <w:lang w:val="en-US" w:eastAsia="zh-CN"/>
        </w:rPr>
        <w:t>第十三条 特许项目由项目的行业主管部门或者市人民政府确定的其它部门（以下统称实施单位），依据市人民政府的授权负责具体实施。实施单位负责拟订招标文件，依法组织招标投标。</w:t>
      </w:r>
    </w:p>
    <w:p>
      <w:pPr>
        <w:rPr>
          <w:rFonts w:hint="eastAsia"/>
          <w:lang w:val="en-US" w:eastAsia="zh-CN"/>
        </w:rPr>
      </w:pPr>
      <w:r>
        <w:rPr>
          <w:rFonts w:hint="eastAsia"/>
          <w:lang w:val="en-US" w:eastAsia="zh-CN"/>
        </w:rPr>
        <w:t>第十四条　依法确定中标者后，实施单位依照《中华人民共和国招标投标法》的相关规定与中标者（以下称特许经营者）签订特许经营协议，特许协议须报经市人民政府批准同意。</w:t>
      </w:r>
    </w:p>
    <w:p>
      <w:pPr>
        <w:rPr>
          <w:rFonts w:hint="eastAsia"/>
          <w:lang w:val="en-US" w:eastAsia="zh-CN"/>
        </w:rPr>
      </w:pPr>
      <w:r>
        <w:rPr>
          <w:rFonts w:hint="eastAsia"/>
          <w:lang w:val="en-US" w:eastAsia="zh-CN"/>
        </w:rPr>
        <w:t>特许经营协议应包括下列内容：</w:t>
      </w:r>
    </w:p>
    <w:p>
      <w:pPr>
        <w:rPr>
          <w:rFonts w:hint="eastAsia"/>
          <w:lang w:val="en-US" w:eastAsia="zh-CN"/>
        </w:rPr>
      </w:pPr>
      <w:r>
        <w:rPr>
          <w:rFonts w:hint="eastAsia"/>
          <w:lang w:val="en-US" w:eastAsia="zh-CN"/>
        </w:rPr>
        <w:t>（一）特许经营内容、区域、范围、方式及有效期限；</w:t>
      </w:r>
    </w:p>
    <w:p>
      <w:pPr>
        <w:rPr>
          <w:rFonts w:hint="eastAsia"/>
          <w:lang w:val="en-US" w:eastAsia="zh-CN"/>
        </w:rPr>
      </w:pPr>
      <w:r>
        <w:rPr>
          <w:rFonts w:hint="eastAsia"/>
          <w:lang w:val="en-US" w:eastAsia="zh-CN"/>
        </w:rPr>
        <w:t>（二）产品或者服务数量、质量和标准；</w:t>
      </w:r>
    </w:p>
    <w:p>
      <w:pPr>
        <w:rPr>
          <w:rFonts w:hint="eastAsia"/>
          <w:lang w:val="en-US" w:eastAsia="zh-CN"/>
        </w:rPr>
      </w:pPr>
      <w:r>
        <w:rPr>
          <w:rFonts w:hint="eastAsia"/>
          <w:lang w:val="en-US" w:eastAsia="zh-CN"/>
        </w:rPr>
        <w:t>（三）价格、收费或者补贴的确定方法、标准及调整程序；</w:t>
      </w:r>
    </w:p>
    <w:p>
      <w:pPr>
        <w:rPr>
          <w:rFonts w:hint="eastAsia"/>
          <w:lang w:val="en-US" w:eastAsia="zh-CN"/>
        </w:rPr>
      </w:pPr>
      <w:r>
        <w:rPr>
          <w:rFonts w:hint="eastAsia"/>
          <w:lang w:val="en-US" w:eastAsia="zh-CN"/>
        </w:rPr>
        <w:t>（四）投融资的期限和方式；</w:t>
      </w:r>
    </w:p>
    <w:p>
      <w:pPr>
        <w:rPr>
          <w:rFonts w:hint="eastAsia"/>
          <w:lang w:val="en-US" w:eastAsia="zh-CN"/>
        </w:rPr>
      </w:pPr>
      <w:r>
        <w:rPr>
          <w:rFonts w:hint="eastAsia"/>
          <w:lang w:val="en-US" w:eastAsia="zh-CN"/>
        </w:rPr>
        <w:t>（五）设施的权属与处置；</w:t>
      </w:r>
    </w:p>
    <w:p>
      <w:pPr>
        <w:rPr>
          <w:rFonts w:hint="eastAsia"/>
          <w:lang w:val="en-US" w:eastAsia="zh-CN"/>
        </w:rPr>
      </w:pPr>
      <w:r>
        <w:rPr>
          <w:rFonts w:hint="eastAsia"/>
          <w:lang w:val="en-US" w:eastAsia="zh-CN"/>
        </w:rPr>
        <w:t>（六）设施维护和更新改造；</w:t>
      </w:r>
    </w:p>
    <w:p>
      <w:pPr>
        <w:rPr>
          <w:rFonts w:hint="eastAsia"/>
          <w:lang w:val="en-US" w:eastAsia="zh-CN"/>
        </w:rPr>
      </w:pPr>
      <w:r>
        <w:rPr>
          <w:rFonts w:hint="eastAsia"/>
          <w:lang w:val="en-US" w:eastAsia="zh-CN"/>
        </w:rPr>
        <w:t>（七）安全管理；</w:t>
      </w:r>
    </w:p>
    <w:p>
      <w:pPr>
        <w:rPr>
          <w:rFonts w:hint="eastAsia"/>
          <w:lang w:val="en-US" w:eastAsia="zh-CN"/>
        </w:rPr>
      </w:pPr>
      <w:r>
        <w:rPr>
          <w:rFonts w:hint="eastAsia"/>
          <w:lang w:val="en-US" w:eastAsia="zh-CN"/>
        </w:rPr>
        <w:t>（八）履约担保；</w:t>
      </w:r>
    </w:p>
    <w:p>
      <w:pPr>
        <w:rPr>
          <w:rFonts w:hint="eastAsia"/>
          <w:lang w:val="en-US" w:eastAsia="zh-CN"/>
        </w:rPr>
      </w:pPr>
      <w:r>
        <w:rPr>
          <w:rFonts w:hint="eastAsia"/>
          <w:lang w:val="en-US" w:eastAsia="zh-CN"/>
        </w:rPr>
        <w:t>（九）特许权的终止和变更；</w:t>
      </w:r>
    </w:p>
    <w:p>
      <w:pPr>
        <w:rPr>
          <w:rFonts w:hint="eastAsia"/>
          <w:lang w:val="en-US" w:eastAsia="zh-CN"/>
        </w:rPr>
      </w:pPr>
      <w:r>
        <w:rPr>
          <w:rFonts w:hint="eastAsia"/>
          <w:lang w:val="en-US" w:eastAsia="zh-CN"/>
        </w:rPr>
        <w:t>（十）违约责任；</w:t>
      </w:r>
    </w:p>
    <w:p>
      <w:pPr>
        <w:rPr>
          <w:rFonts w:hint="eastAsia"/>
          <w:lang w:val="en-US" w:eastAsia="zh-CN"/>
        </w:rPr>
      </w:pPr>
      <w:r>
        <w:rPr>
          <w:rFonts w:hint="eastAsia"/>
          <w:lang w:val="en-US" w:eastAsia="zh-CN"/>
        </w:rPr>
        <w:t>（十一）争议解决方式；</w:t>
      </w:r>
    </w:p>
    <w:p>
      <w:pPr>
        <w:rPr>
          <w:rFonts w:hint="eastAsia"/>
          <w:lang w:val="en-US" w:eastAsia="zh-CN"/>
        </w:rPr>
      </w:pPr>
      <w:r>
        <w:rPr>
          <w:rFonts w:hint="eastAsia"/>
          <w:lang w:val="en-US" w:eastAsia="zh-CN"/>
        </w:rPr>
        <w:t>（十二）其他事项。</w:t>
      </w:r>
    </w:p>
    <w:p>
      <w:pPr>
        <w:rPr>
          <w:rFonts w:hint="eastAsia"/>
          <w:lang w:val="en-US" w:eastAsia="zh-CN"/>
        </w:rPr>
      </w:pPr>
      <w:r>
        <w:rPr>
          <w:rFonts w:hint="eastAsia"/>
          <w:lang w:val="en-US" w:eastAsia="zh-CN"/>
        </w:rPr>
        <w:t>第十五条 公用事业产品价格和服务收费标准的确定应遵循补偿成本、依法纳税、合理收益、节约资源、促进发展及社会承受力的原则。</w:t>
      </w:r>
    </w:p>
    <w:p>
      <w:pPr>
        <w:rPr>
          <w:rFonts w:hint="eastAsia"/>
          <w:lang w:val="en-US" w:eastAsia="zh-CN"/>
        </w:rPr>
      </w:pPr>
      <w:r>
        <w:rPr>
          <w:rFonts w:hint="eastAsia"/>
          <w:lang w:val="en-US" w:eastAsia="zh-CN"/>
        </w:rPr>
        <w:t>公用事业产品价格和服务收费标准的核定由市物价部门按照有关法律、法规规定的原则和程序制定。</w:t>
      </w:r>
    </w:p>
    <w:p>
      <w:pPr>
        <w:rPr>
          <w:rFonts w:hint="eastAsia"/>
          <w:lang w:val="en-US" w:eastAsia="zh-CN"/>
        </w:rPr>
      </w:pPr>
      <w:r>
        <w:rPr>
          <w:rFonts w:hint="eastAsia"/>
          <w:lang w:val="en-US" w:eastAsia="zh-CN"/>
        </w:rPr>
        <w:t>第十六条　在特许经营期间，实施单位应当履行下列职责：</w:t>
      </w:r>
    </w:p>
    <w:p>
      <w:pPr>
        <w:rPr>
          <w:rFonts w:hint="eastAsia"/>
          <w:lang w:val="en-US" w:eastAsia="zh-CN"/>
        </w:rPr>
      </w:pPr>
      <w:r>
        <w:rPr>
          <w:rFonts w:hint="eastAsia"/>
          <w:lang w:val="en-US" w:eastAsia="zh-CN"/>
        </w:rPr>
        <w:t>（一）协助相关部门核算和监控企业成本，提出价格调整意见；</w:t>
      </w:r>
    </w:p>
    <w:p>
      <w:pPr>
        <w:rPr>
          <w:rFonts w:hint="eastAsia"/>
          <w:lang w:val="en-US" w:eastAsia="zh-CN"/>
        </w:rPr>
      </w:pPr>
      <w:r>
        <w:rPr>
          <w:rFonts w:hint="eastAsia"/>
          <w:lang w:val="en-US" w:eastAsia="zh-CN"/>
        </w:rPr>
        <w:t>（二）监督特许经营者履行法定义务和协议书规定的义务；</w:t>
      </w:r>
    </w:p>
    <w:p>
      <w:pPr>
        <w:rPr>
          <w:rFonts w:hint="eastAsia"/>
          <w:lang w:val="en-US" w:eastAsia="zh-CN"/>
        </w:rPr>
      </w:pPr>
      <w:r>
        <w:rPr>
          <w:rFonts w:hint="eastAsia"/>
          <w:lang w:val="en-US" w:eastAsia="zh-CN"/>
        </w:rPr>
        <w:t>（三）对特许经营者的经营计划实施情况、产品和服务的质量以及安全生产情况进行监督；　　</w:t>
      </w:r>
    </w:p>
    <w:p>
      <w:pPr>
        <w:rPr>
          <w:rFonts w:hint="eastAsia"/>
          <w:lang w:val="en-US" w:eastAsia="zh-CN"/>
        </w:rPr>
      </w:pPr>
      <w:r>
        <w:rPr>
          <w:rFonts w:hint="eastAsia"/>
          <w:lang w:val="en-US" w:eastAsia="zh-CN"/>
        </w:rPr>
        <w:t>（四）受理公众对特许经营者的投诉；</w:t>
      </w:r>
    </w:p>
    <w:p>
      <w:pPr>
        <w:rPr>
          <w:rFonts w:hint="eastAsia"/>
          <w:lang w:val="en-US" w:eastAsia="zh-CN"/>
        </w:rPr>
      </w:pPr>
      <w:r>
        <w:rPr>
          <w:rFonts w:hint="eastAsia"/>
          <w:lang w:val="en-US" w:eastAsia="zh-CN"/>
        </w:rPr>
        <w:t>（五）向市政府提交年度特许经营监督检查报告；</w:t>
      </w:r>
    </w:p>
    <w:p>
      <w:pPr>
        <w:rPr>
          <w:rFonts w:hint="eastAsia"/>
          <w:lang w:val="en-US" w:eastAsia="zh-CN"/>
        </w:rPr>
      </w:pPr>
      <w:r>
        <w:rPr>
          <w:rFonts w:hint="eastAsia"/>
          <w:lang w:val="en-US" w:eastAsia="zh-CN"/>
        </w:rPr>
        <w:t>（六）在危及或者可能危及公共利益、公共安全等紧急情况下，临时接管特许经营项目；</w:t>
      </w:r>
    </w:p>
    <w:p>
      <w:pPr>
        <w:rPr>
          <w:rFonts w:hint="eastAsia"/>
          <w:lang w:val="en-US" w:eastAsia="zh-CN"/>
        </w:rPr>
      </w:pPr>
      <w:r>
        <w:rPr>
          <w:rFonts w:hint="eastAsia"/>
          <w:lang w:val="en-US" w:eastAsia="zh-CN"/>
        </w:rPr>
        <w:t>（七）其他责任。</w:t>
      </w:r>
    </w:p>
    <w:p>
      <w:pPr>
        <w:rPr>
          <w:rFonts w:hint="eastAsia"/>
          <w:lang w:val="en-US" w:eastAsia="zh-CN"/>
        </w:rPr>
      </w:pPr>
      <w:r>
        <w:rPr>
          <w:rFonts w:hint="eastAsia"/>
          <w:lang w:val="en-US" w:eastAsia="zh-CN"/>
        </w:rPr>
        <w:t>第十七条　签订特许协议后，特许经营者应当在规定的期限内注册成立项目公司，负责实施该特许项目。</w:t>
      </w:r>
    </w:p>
    <w:p>
      <w:pPr>
        <w:rPr>
          <w:rFonts w:hint="eastAsia"/>
          <w:lang w:val="en-US" w:eastAsia="zh-CN"/>
        </w:rPr>
      </w:pPr>
      <w:r>
        <w:rPr>
          <w:rFonts w:hint="eastAsia"/>
          <w:lang w:val="en-US" w:eastAsia="zh-CN"/>
        </w:rPr>
        <w:t>第十八条　特许经营者应当遵守以下规定：</w:t>
      </w:r>
    </w:p>
    <w:p>
      <w:pPr>
        <w:rPr>
          <w:rFonts w:hint="eastAsia"/>
          <w:lang w:val="en-US" w:eastAsia="zh-CN"/>
        </w:rPr>
      </w:pPr>
      <w:r>
        <w:rPr>
          <w:rFonts w:hint="eastAsia"/>
          <w:lang w:val="en-US" w:eastAsia="zh-CN"/>
        </w:rPr>
        <w:t>（一）科学合理地制定企业年度生产、供应计划；</w:t>
      </w:r>
    </w:p>
    <w:p>
      <w:pPr>
        <w:rPr>
          <w:rFonts w:hint="eastAsia"/>
          <w:lang w:val="en-US" w:eastAsia="zh-CN"/>
        </w:rPr>
      </w:pPr>
      <w:r>
        <w:rPr>
          <w:rFonts w:hint="eastAsia"/>
          <w:lang w:val="en-US" w:eastAsia="zh-CN"/>
        </w:rPr>
        <w:t>（二）按照国家安全生产法规和行业安全生产标准规范，组织企业安全生产；　　</w:t>
      </w:r>
    </w:p>
    <w:p>
      <w:pPr>
        <w:rPr>
          <w:rFonts w:hint="eastAsia"/>
          <w:lang w:val="en-US" w:eastAsia="zh-CN"/>
        </w:rPr>
      </w:pPr>
      <w:r>
        <w:rPr>
          <w:rFonts w:hint="eastAsia"/>
          <w:lang w:val="en-US" w:eastAsia="zh-CN"/>
        </w:rPr>
        <w:t>（三）履行经营协议，为社会提供足量的、符合标准的产品和服务；</w:t>
      </w:r>
    </w:p>
    <w:p>
      <w:pPr>
        <w:rPr>
          <w:rFonts w:hint="eastAsia"/>
          <w:lang w:val="en-US" w:eastAsia="zh-CN"/>
        </w:rPr>
      </w:pPr>
      <w:r>
        <w:rPr>
          <w:rFonts w:hint="eastAsia"/>
          <w:lang w:val="en-US" w:eastAsia="zh-CN"/>
        </w:rPr>
        <w:t>（四）接受实施单位对产品和服务质量的监督检查；</w:t>
      </w:r>
    </w:p>
    <w:p>
      <w:pPr>
        <w:rPr>
          <w:rFonts w:hint="eastAsia"/>
          <w:lang w:val="en-US" w:eastAsia="zh-CN"/>
        </w:rPr>
      </w:pPr>
      <w:r>
        <w:rPr>
          <w:rFonts w:hint="eastAsia"/>
          <w:lang w:val="en-US" w:eastAsia="zh-CN"/>
        </w:rPr>
        <w:t>（五）在规定的时间内，将中长期发展规划、年度经营计划、年度报告、董事会决议等报实施单位备案；</w:t>
      </w:r>
    </w:p>
    <w:p>
      <w:pPr>
        <w:rPr>
          <w:rFonts w:hint="eastAsia"/>
          <w:lang w:val="en-US" w:eastAsia="zh-CN"/>
        </w:rPr>
      </w:pPr>
      <w:r>
        <w:rPr>
          <w:rFonts w:hint="eastAsia"/>
          <w:lang w:val="en-US" w:eastAsia="zh-CN"/>
        </w:rPr>
        <w:t>（六）加强对生产设施、设备的运行维护和更新改造，确保设施完好；</w:t>
      </w:r>
    </w:p>
    <w:p>
      <w:pPr>
        <w:rPr>
          <w:rFonts w:hint="eastAsia"/>
          <w:lang w:val="en-US" w:eastAsia="zh-CN"/>
        </w:rPr>
      </w:pPr>
      <w:r>
        <w:rPr>
          <w:rFonts w:hint="eastAsia"/>
          <w:lang w:val="en-US" w:eastAsia="zh-CN"/>
        </w:rPr>
        <w:t>（七）协议约定的其他责任。</w:t>
      </w:r>
    </w:p>
    <w:p>
      <w:pPr>
        <w:rPr>
          <w:rFonts w:hint="eastAsia"/>
          <w:lang w:val="en-US" w:eastAsia="zh-CN"/>
        </w:rPr>
      </w:pPr>
      <w:r>
        <w:rPr>
          <w:rFonts w:hint="eastAsia"/>
          <w:lang w:val="en-US" w:eastAsia="zh-CN"/>
        </w:rPr>
        <w:t>第十九条 在协议有效期限内，若协议内容确需变更的，协议双方应当在共同协商的基础上签订补充协议，并报市人民政府批准。</w:t>
      </w:r>
    </w:p>
    <w:p>
      <w:pPr>
        <w:rPr>
          <w:rFonts w:hint="eastAsia"/>
          <w:lang w:val="en-US" w:eastAsia="zh-CN"/>
        </w:rPr>
      </w:pPr>
      <w:r>
        <w:rPr>
          <w:rFonts w:hint="eastAsia"/>
          <w:lang w:val="en-US" w:eastAsia="zh-CN"/>
        </w:rPr>
        <w:t>第二十条　特许期限内，实施单位和有关行政主管部门有权依法对特许项目进行检查、评估、审计，但不得妨碍特许经营者正常的生产经营活动。对特许经营者违反法律、法规、规章规定和特许协议约定的行为应当予以纠正并依法处罚，直至依法收回特许权。</w:t>
      </w:r>
    </w:p>
    <w:p>
      <w:pPr>
        <w:rPr>
          <w:rFonts w:hint="eastAsia"/>
          <w:lang w:val="en-US" w:eastAsia="zh-CN"/>
        </w:rPr>
      </w:pPr>
      <w:r>
        <w:rPr>
          <w:rFonts w:hint="eastAsia"/>
          <w:lang w:val="en-US" w:eastAsia="zh-CN"/>
        </w:rPr>
        <w:t>评估应当由实施单位组织专家进行，评估周期一般不得低于两年，特殊情况下可以实施年度评估。</w:t>
      </w:r>
    </w:p>
    <w:p>
      <w:pPr>
        <w:rPr>
          <w:rFonts w:hint="eastAsia"/>
          <w:lang w:val="en-US" w:eastAsia="zh-CN"/>
        </w:rPr>
      </w:pPr>
      <w:r>
        <w:rPr>
          <w:rFonts w:hint="eastAsia"/>
          <w:lang w:val="en-US" w:eastAsia="zh-CN"/>
        </w:rPr>
        <w:t>第二十一条 社会公众对市政公用事业特许经营享有知情权、建议权。</w:t>
      </w:r>
    </w:p>
    <w:p>
      <w:pPr>
        <w:rPr>
          <w:rFonts w:hint="eastAsia"/>
          <w:lang w:val="en-US" w:eastAsia="zh-CN"/>
        </w:rPr>
      </w:pPr>
      <w:r>
        <w:rPr>
          <w:rFonts w:hint="eastAsia"/>
          <w:lang w:val="en-US" w:eastAsia="zh-CN"/>
        </w:rPr>
        <w:t>实施单位和特许经营者应当建立公众参与机制,保障公众能够对特许经营情况进行监督。</w:t>
      </w:r>
    </w:p>
    <w:p>
      <w:pPr>
        <w:rPr>
          <w:rFonts w:hint="eastAsia"/>
          <w:lang w:val="en-US" w:eastAsia="zh-CN"/>
        </w:rPr>
      </w:pPr>
      <w:r>
        <w:rPr>
          <w:rFonts w:hint="eastAsia"/>
          <w:lang w:val="en-US" w:eastAsia="zh-CN"/>
        </w:rPr>
        <w:t>第二十二条　特许经营者有下列情形之一的，实施单位应当依法终止特许经营协议，取消特许权，并可以实施临时接管：</w:t>
      </w:r>
    </w:p>
    <w:p>
      <w:pPr>
        <w:rPr>
          <w:rFonts w:hint="eastAsia"/>
          <w:lang w:val="en-US" w:eastAsia="zh-CN"/>
        </w:rPr>
      </w:pPr>
      <w:r>
        <w:rPr>
          <w:rFonts w:hint="eastAsia"/>
          <w:lang w:val="en-US" w:eastAsia="zh-CN"/>
        </w:rPr>
        <w:t>（一）不按照特许协议的约定提供公共产品或者服务，严重影响公众利益的；</w:t>
      </w:r>
    </w:p>
    <w:p>
      <w:pPr>
        <w:rPr>
          <w:rFonts w:hint="eastAsia"/>
          <w:lang w:val="en-US" w:eastAsia="zh-CN"/>
        </w:rPr>
      </w:pPr>
      <w:r>
        <w:rPr>
          <w:rFonts w:hint="eastAsia"/>
          <w:lang w:val="en-US" w:eastAsia="zh-CN"/>
        </w:rPr>
        <w:t>（二）擅自转让、出租特许权的；</w:t>
      </w:r>
    </w:p>
    <w:p>
      <w:pPr>
        <w:rPr>
          <w:rFonts w:hint="eastAsia"/>
          <w:lang w:val="en-US" w:eastAsia="zh-CN"/>
        </w:rPr>
      </w:pPr>
      <w:r>
        <w:rPr>
          <w:rFonts w:hint="eastAsia"/>
          <w:lang w:val="en-US" w:eastAsia="zh-CN"/>
        </w:rPr>
        <w:t>（三）擅自停业、歇业，严重影响公共利益和公共安全的；</w:t>
      </w:r>
    </w:p>
    <w:p>
      <w:pPr>
        <w:rPr>
          <w:rFonts w:hint="eastAsia"/>
          <w:lang w:val="en-US" w:eastAsia="zh-CN"/>
        </w:rPr>
      </w:pPr>
      <w:r>
        <w:rPr>
          <w:rFonts w:hint="eastAsia"/>
          <w:lang w:val="en-US" w:eastAsia="zh-CN"/>
        </w:rPr>
        <w:t>（四）擅自将所经营的财产进行处置或者抵押的；</w:t>
      </w:r>
    </w:p>
    <w:p>
      <w:pPr>
        <w:rPr>
          <w:rFonts w:hint="eastAsia"/>
          <w:lang w:val="en-US" w:eastAsia="zh-CN"/>
        </w:rPr>
      </w:pPr>
      <w:r>
        <w:rPr>
          <w:rFonts w:hint="eastAsia"/>
          <w:lang w:val="en-US" w:eastAsia="zh-CN"/>
        </w:rPr>
        <w:t>（五）因管理不善，发生重大质量、安全生产事故的；</w:t>
      </w:r>
    </w:p>
    <w:p>
      <w:pPr>
        <w:rPr>
          <w:rFonts w:hint="eastAsia"/>
          <w:lang w:val="en-US" w:eastAsia="zh-CN"/>
        </w:rPr>
      </w:pPr>
      <w:r>
        <w:rPr>
          <w:rFonts w:hint="eastAsia"/>
          <w:lang w:val="en-US" w:eastAsia="zh-CN"/>
        </w:rPr>
        <w:t>（六）因经营管理不善等原因，造成财务状况严重恶化，危及公用事业的；</w:t>
      </w:r>
    </w:p>
    <w:p>
      <w:pPr>
        <w:rPr>
          <w:rFonts w:hint="eastAsia"/>
          <w:lang w:val="en-US" w:eastAsia="zh-CN"/>
        </w:rPr>
      </w:pPr>
      <w:r>
        <w:rPr>
          <w:rFonts w:hint="eastAsia"/>
          <w:lang w:val="en-US" w:eastAsia="zh-CN"/>
        </w:rPr>
        <w:t>（七）法律、法规、规章等禁止的其他行为。</w:t>
      </w:r>
    </w:p>
    <w:p>
      <w:pPr>
        <w:rPr>
          <w:rFonts w:hint="eastAsia"/>
          <w:lang w:val="en-US" w:eastAsia="zh-CN"/>
        </w:rPr>
      </w:pPr>
      <w:r>
        <w:rPr>
          <w:rFonts w:hint="eastAsia"/>
          <w:lang w:val="en-US" w:eastAsia="zh-CN"/>
        </w:rPr>
        <w:t>第二十三条 实施单位应当建立特许经营项目的临时接管应急预案。</w:t>
      </w:r>
    </w:p>
    <w:p>
      <w:pPr>
        <w:rPr>
          <w:rFonts w:hint="eastAsia"/>
          <w:lang w:val="en-US" w:eastAsia="zh-CN"/>
        </w:rPr>
      </w:pPr>
      <w:r>
        <w:rPr>
          <w:rFonts w:hint="eastAsia"/>
          <w:lang w:val="en-US" w:eastAsia="zh-CN"/>
        </w:rPr>
        <w:t>特许权发生变更或者终止时，实施单位应当采取有效措施保证市政公用产品供应和服务的连续性和稳定性。</w:t>
      </w:r>
    </w:p>
    <w:p>
      <w:pPr>
        <w:rPr>
          <w:rFonts w:hint="eastAsia"/>
          <w:lang w:val="en-US" w:eastAsia="zh-CN"/>
        </w:rPr>
      </w:pPr>
      <w:r>
        <w:rPr>
          <w:rFonts w:hint="eastAsia"/>
          <w:lang w:val="en-US" w:eastAsia="zh-CN"/>
        </w:rPr>
        <w:t>取消特许权并实施临时接管的, 实施单位应当按照有关法律、法规的规定进行，书面通知特许经营者，并召开听证会。</w:t>
      </w:r>
    </w:p>
    <w:p>
      <w:pPr>
        <w:rPr>
          <w:rFonts w:hint="eastAsia"/>
          <w:lang w:val="en-US" w:eastAsia="zh-CN"/>
        </w:rPr>
      </w:pPr>
      <w:r>
        <w:rPr>
          <w:rFonts w:hint="eastAsia"/>
          <w:lang w:val="en-US" w:eastAsia="zh-CN"/>
        </w:rPr>
        <w:t>第二十四条 特许期限内，除本办法第二十二条规定的情形外，特许权不得收回，特许项目不得被征用；确因公共利益需要，经市政府批准收回特许权或者征用特许项目的，应当依法给予一定补偿。</w:t>
      </w:r>
    </w:p>
    <w:p>
      <w:pPr>
        <w:rPr>
          <w:rFonts w:hint="eastAsia"/>
          <w:lang w:val="en-US" w:eastAsia="zh-CN"/>
        </w:rPr>
      </w:pPr>
      <w:r>
        <w:rPr>
          <w:rFonts w:hint="eastAsia"/>
          <w:lang w:val="en-US" w:eastAsia="zh-CN"/>
        </w:rPr>
        <w:t>第二十五条　特许期限届满，特许经营者可以申请延长特许期限。延长特许期限的申请应当在特许期满前一年向实施单位提出，经实施单位组织评审同意并报市人民政府批准后，可以延长。</w:t>
      </w:r>
    </w:p>
    <w:p>
      <w:pPr>
        <w:rPr>
          <w:rFonts w:hint="eastAsia"/>
          <w:lang w:val="en-US" w:eastAsia="zh-CN"/>
        </w:rPr>
      </w:pPr>
      <w:r>
        <w:rPr>
          <w:rFonts w:hint="eastAsia"/>
          <w:lang w:val="en-US" w:eastAsia="zh-CN"/>
        </w:rPr>
        <w:t xml:space="preserve">第二十六条 特许权被收回的，特许经营者应当按照特许协议约定或者市人民政府的规定，移交特许经营的设施、设备、图纸、资料，养护、维修、更新改造记录，有关用户的档案、资料等，实施单位应当组织对设施及相关资产进行评估，对需要补偿的，依据特许协议的约定给予补偿。 </w:t>
      </w:r>
    </w:p>
    <w:p>
      <w:pPr>
        <w:rPr>
          <w:rFonts w:hint="eastAsia"/>
          <w:lang w:val="en-US" w:eastAsia="zh-CN"/>
        </w:rPr>
      </w:pPr>
      <w:r>
        <w:rPr>
          <w:rFonts w:hint="eastAsia"/>
          <w:lang w:val="en-US" w:eastAsia="zh-CN"/>
        </w:rPr>
        <w:t>第二十七条　各镇人民政府（区办事处）参照本办法的规定执行。</w:t>
      </w:r>
    </w:p>
    <w:p>
      <w:pPr>
        <w:rPr>
          <w:rFonts w:hint="eastAsia"/>
          <w:lang w:val="en-US" w:eastAsia="zh-CN"/>
        </w:rPr>
      </w:pPr>
      <w:r>
        <w:rPr>
          <w:rFonts w:hint="eastAsia"/>
          <w:lang w:val="en-US" w:eastAsia="zh-CN"/>
        </w:rPr>
        <w:t xml:space="preserve">第二十八条 本办法自颁布之日起施行。 </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6273D2F"/>
    <w:rsid w:val="066B5EED"/>
    <w:rsid w:val="068A3601"/>
    <w:rsid w:val="06B632D7"/>
    <w:rsid w:val="07D36BE9"/>
    <w:rsid w:val="0826101C"/>
    <w:rsid w:val="083246F7"/>
    <w:rsid w:val="083B2E68"/>
    <w:rsid w:val="08673D2A"/>
    <w:rsid w:val="0BFA61F5"/>
    <w:rsid w:val="16CE6E38"/>
    <w:rsid w:val="172E5427"/>
    <w:rsid w:val="17EE545F"/>
    <w:rsid w:val="19404731"/>
    <w:rsid w:val="19453DBA"/>
    <w:rsid w:val="198860F9"/>
    <w:rsid w:val="1A270633"/>
    <w:rsid w:val="1AFF5544"/>
    <w:rsid w:val="1B0A3499"/>
    <w:rsid w:val="1C88487D"/>
    <w:rsid w:val="208E165E"/>
    <w:rsid w:val="2182268D"/>
    <w:rsid w:val="22EB08F5"/>
    <w:rsid w:val="24EC5364"/>
    <w:rsid w:val="251865EA"/>
    <w:rsid w:val="26CF63DE"/>
    <w:rsid w:val="275012D1"/>
    <w:rsid w:val="28461F24"/>
    <w:rsid w:val="284E6B1C"/>
    <w:rsid w:val="2A572873"/>
    <w:rsid w:val="2CD17B17"/>
    <w:rsid w:val="2D23250E"/>
    <w:rsid w:val="2E287751"/>
    <w:rsid w:val="2F030164"/>
    <w:rsid w:val="2F1C7246"/>
    <w:rsid w:val="349458E8"/>
    <w:rsid w:val="36EA50A7"/>
    <w:rsid w:val="37C1347B"/>
    <w:rsid w:val="39E113F5"/>
    <w:rsid w:val="3B2F6EF7"/>
    <w:rsid w:val="3B3C4D54"/>
    <w:rsid w:val="3CDF67F3"/>
    <w:rsid w:val="3D8E7553"/>
    <w:rsid w:val="3D961312"/>
    <w:rsid w:val="3D9A530C"/>
    <w:rsid w:val="3DEE1FA1"/>
    <w:rsid w:val="41193F13"/>
    <w:rsid w:val="41F439C1"/>
    <w:rsid w:val="4B4F1F4F"/>
    <w:rsid w:val="4B625615"/>
    <w:rsid w:val="4C710BC2"/>
    <w:rsid w:val="4D6C2539"/>
    <w:rsid w:val="4D765109"/>
    <w:rsid w:val="4EFF5BB2"/>
    <w:rsid w:val="50CD5DC9"/>
    <w:rsid w:val="52AE776A"/>
    <w:rsid w:val="552A4C57"/>
    <w:rsid w:val="563D0E89"/>
    <w:rsid w:val="56655F3F"/>
    <w:rsid w:val="572040A1"/>
    <w:rsid w:val="575C6B12"/>
    <w:rsid w:val="587963E1"/>
    <w:rsid w:val="59562BE0"/>
    <w:rsid w:val="5CEA6EFD"/>
    <w:rsid w:val="5F8B1806"/>
    <w:rsid w:val="5FFD6D65"/>
    <w:rsid w:val="6080698E"/>
    <w:rsid w:val="62D97CAF"/>
    <w:rsid w:val="63281C26"/>
    <w:rsid w:val="64013AF7"/>
    <w:rsid w:val="6554162F"/>
    <w:rsid w:val="656E2D54"/>
    <w:rsid w:val="65A31D7F"/>
    <w:rsid w:val="67DC3838"/>
    <w:rsid w:val="699F479A"/>
    <w:rsid w:val="69D8791C"/>
    <w:rsid w:val="6BA72C63"/>
    <w:rsid w:val="6BEA2F00"/>
    <w:rsid w:val="6C7675A4"/>
    <w:rsid w:val="70283050"/>
    <w:rsid w:val="71A242AF"/>
    <w:rsid w:val="72F907FB"/>
    <w:rsid w:val="730533FF"/>
    <w:rsid w:val="749311F6"/>
    <w:rsid w:val="7584598A"/>
    <w:rsid w:val="78632FA7"/>
    <w:rsid w:val="78DE1F91"/>
    <w:rsid w:val="79EA7C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uiPriority w:val="0"/>
    <w:rPr>
      <w:color w:val="666666"/>
      <w:sz w:val="18"/>
      <w:szCs w:val="18"/>
    </w:rPr>
  </w:style>
  <w:style w:type="character" w:customStyle="1" w:styleId="153">
    <w:name w:val="spanitalic"/>
    <w:basedOn w:val="7"/>
    <w:uiPriority w:val="0"/>
    <w:rPr>
      <w:color w:val="666666"/>
      <w:sz w:val="18"/>
      <w:szCs w:val="18"/>
    </w:rPr>
  </w:style>
  <w:style w:type="character" w:customStyle="1" w:styleId="154">
    <w:name w:val="fontstrikethrough"/>
    <w:basedOn w:val="7"/>
    <w:uiPriority w:val="0"/>
    <w:rPr>
      <w:strike/>
    </w:rPr>
  </w:style>
  <w:style w:type="character" w:customStyle="1" w:styleId="155">
    <w:name w:val="fontborder"/>
    <w:basedOn w:val="7"/>
    <w:uiPriority w:val="0"/>
    <w:rPr>
      <w:bdr w:val="single" w:color="000000" w:sz="6" w:space="0"/>
    </w:rPr>
  </w:style>
  <w:style w:type="paragraph" w:customStyle="1" w:styleId="156">
    <w:name w:val="c"/>
    <w:basedOn w:val="1"/>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uiPriority w:val="0"/>
    <w:pPr>
      <w:jc w:val="left"/>
    </w:pPr>
    <w:rPr>
      <w:b/>
      <w:color w:val="FF00FF"/>
      <w:kern w:val="0"/>
      <w:sz w:val="24"/>
      <w:szCs w:val="24"/>
      <w:lang w:val="en-US" w:eastAsia="zh-CN" w:bidi="ar"/>
    </w:rPr>
  </w:style>
  <w:style w:type="paragraph" w:styleId="158">
    <w:name w:val=""/>
    <w:basedOn w:val="1"/>
    <w:next w:val="1"/>
    <w:uiPriority w:val="0"/>
    <w:pPr>
      <w:pBdr>
        <w:bottom w:val="single" w:color="auto" w:sz="6" w:space="1"/>
      </w:pBdr>
      <w:jc w:val="center"/>
    </w:pPr>
    <w:rPr>
      <w:rFonts w:ascii="Arial" w:eastAsia="宋体"/>
      <w:vanish/>
      <w:sz w:val="16"/>
    </w:rPr>
  </w:style>
  <w:style w:type="paragraph" w:styleId="159">
    <w:name w:val=""/>
    <w:basedOn w:val="1"/>
    <w:next w:val="1"/>
    <w:uiPriority w:val="0"/>
    <w:pPr>
      <w:pBdr>
        <w:top w:val="single" w:color="auto" w:sz="6" w:space="1"/>
      </w:pBdr>
      <w:jc w:val="center"/>
    </w:pPr>
    <w:rPr>
      <w:rFonts w:ascii="Arial" w:eastAsia="宋体"/>
      <w:vanish/>
      <w:sz w:val="16"/>
    </w:rPr>
  </w:style>
  <w:style w:type="character" w:customStyle="1" w:styleId="160">
    <w:name w:val="n1"/>
    <w:basedOn w:val="7"/>
    <w:uiPriority w:val="0"/>
    <w:rPr>
      <w:b/>
      <w:color w:val="000099"/>
      <w:sz w:val="21"/>
      <w:szCs w:val="21"/>
    </w:rPr>
  </w:style>
  <w:style w:type="character" w:customStyle="1" w:styleId="161">
    <w:name w:val="hover"/>
    <w:basedOn w:val="7"/>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uiPriority w:val="0"/>
    <w:pPr>
      <w:jc w:val="center"/>
    </w:pPr>
    <w:rPr>
      <w:b/>
      <w:color w:val="FF6600"/>
      <w:kern w:val="0"/>
      <w:sz w:val="24"/>
      <w:szCs w:val="24"/>
      <w:lang w:val="en-US" w:eastAsia="zh-CN" w:bidi="ar"/>
    </w:rPr>
  </w:style>
  <w:style w:type="character" w:customStyle="1" w:styleId="164">
    <w:name w:val="f-article-txt-fb1"/>
    <w:basedOn w:val="7"/>
    <w:uiPriority w:val="0"/>
    <w:rPr>
      <w:b/>
      <w:color w:val="FF6600"/>
    </w:rPr>
  </w:style>
  <w:style w:type="character" w:customStyle="1" w:styleId="165">
    <w:name w:val="hover2"/>
    <w:basedOn w:val="7"/>
    <w:uiPriority w:val="0"/>
    <w:rPr>
      <w:shd w:val="clear" w:fill="F3F3F3"/>
    </w:rPr>
  </w:style>
  <w:style w:type="character" w:customStyle="1" w:styleId="166">
    <w:name w:val="hover3"/>
    <w:basedOn w:val="7"/>
    <w:uiPriority w:val="0"/>
    <w:rPr>
      <w:shd w:val="clear" w:fill="F3F3F3"/>
    </w:rPr>
  </w:style>
  <w:style w:type="character" w:customStyle="1" w:styleId="167">
    <w:name w:val="spanmore4"/>
    <w:basedOn w:val="7"/>
    <w:uiPriority w:val="0"/>
  </w:style>
  <w:style w:type="character" w:customStyle="1" w:styleId="168">
    <w:name w:val="spanmore5"/>
    <w:basedOn w:val="7"/>
    <w:uiPriority w:val="0"/>
  </w:style>
  <w:style w:type="character" w:customStyle="1" w:styleId="169">
    <w:name w:val="spanmore6"/>
    <w:basedOn w:val="7"/>
    <w:uiPriority w:val="0"/>
  </w:style>
  <w:style w:type="character" w:customStyle="1" w:styleId="170">
    <w:name w:val="spanmore7"/>
    <w:basedOn w:val="7"/>
    <w:uiPriority w:val="0"/>
  </w:style>
  <w:style w:type="character" w:customStyle="1" w:styleId="171">
    <w:name w:val="span_left28"/>
    <w:basedOn w:val="7"/>
    <w:uiPriority w:val="0"/>
    <w:rPr>
      <w:color w:val="666666"/>
      <w:sz w:val="18"/>
      <w:szCs w:val="18"/>
    </w:rPr>
  </w:style>
  <w:style w:type="character" w:customStyle="1" w:styleId="172">
    <w:name w:val="spantitle"/>
    <w:basedOn w:val="7"/>
    <w:uiPriority w:val="0"/>
    <w:rPr>
      <w:b/>
      <w:color w:val="FFFFFF"/>
    </w:rPr>
  </w:style>
  <w:style w:type="character" w:customStyle="1" w:styleId="173">
    <w:name w:val="spantitle1"/>
    <w:basedOn w:val="7"/>
    <w:uiPriority w:val="0"/>
    <w:rPr>
      <w:b/>
      <w:color w:val="000000"/>
      <w:sz w:val="21"/>
      <w:szCs w:val="21"/>
    </w:rPr>
  </w:style>
  <w:style w:type="character" w:customStyle="1" w:styleId="174">
    <w:name w:val="spantitle2"/>
    <w:basedOn w:val="7"/>
    <w:uiPriority w:val="0"/>
    <w:rPr>
      <w:b/>
      <w:color w:val="000000"/>
      <w:sz w:val="21"/>
      <w:szCs w:val="21"/>
    </w:rPr>
  </w:style>
  <w:style w:type="character" w:customStyle="1" w:styleId="175">
    <w:name w:val="spantitle3"/>
    <w:basedOn w:val="7"/>
    <w:uiPriority w:val="0"/>
    <w:rPr>
      <w:b/>
      <w:color w:val="0000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2016-08-09T08:40:25Z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