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bookmarkStart w:id="0" w:name="_GoBack"/>
      <w:r>
        <w:rPr>
          <w:rFonts w:hint="eastAsia"/>
          <w:b/>
          <w:bCs/>
          <w:lang w:val="en-US" w:eastAsia="zh-CN"/>
        </w:rPr>
        <w:t>吉林省城市污水处理特许经营管理办法</w:t>
      </w:r>
    </w:p>
    <w:bookmarkEnd w:id="0"/>
    <w:p>
      <w:pPr>
        <w:rPr>
          <w:rFonts w:hint="eastAsia"/>
          <w:lang w:val="en-US" w:eastAsia="zh-CN"/>
        </w:rPr>
      </w:pPr>
      <w:r>
        <w:rPr>
          <w:rFonts w:hint="eastAsia"/>
          <w:lang w:val="en-US" w:eastAsia="zh-CN"/>
        </w:rPr>
        <w:t>第一条　为规范城市污水处理特许经营活动,根据本省实际,制定本办法。</w:t>
      </w:r>
    </w:p>
    <w:p>
      <w:pPr>
        <w:rPr>
          <w:rFonts w:hint="eastAsia"/>
          <w:lang w:val="en-US" w:eastAsia="zh-CN"/>
        </w:rPr>
      </w:pPr>
      <w:r>
        <w:rPr>
          <w:rFonts w:hint="eastAsia"/>
          <w:lang w:val="en-US" w:eastAsia="zh-CN"/>
        </w:rPr>
        <w:t>第二条　任何组织或者个人在本省行政区域内从事城市污水处理活动,均须按照本办法的规定,实行特许经营。</w:t>
      </w:r>
    </w:p>
    <w:p>
      <w:pPr>
        <w:rPr>
          <w:rFonts w:hint="eastAsia"/>
          <w:lang w:val="en-US" w:eastAsia="zh-CN"/>
        </w:rPr>
      </w:pPr>
      <w:r>
        <w:rPr>
          <w:rFonts w:hint="eastAsia"/>
          <w:lang w:val="en-US" w:eastAsia="zh-CN"/>
        </w:rPr>
        <w:t>第三条　城市污水处理特许经营项目,由城市人民政府根据城市建设的发展需要确定。</w:t>
      </w:r>
    </w:p>
    <w:p>
      <w:pPr>
        <w:rPr>
          <w:rFonts w:hint="eastAsia"/>
          <w:lang w:val="en-US" w:eastAsia="zh-CN"/>
        </w:rPr>
      </w:pPr>
      <w:r>
        <w:rPr>
          <w:rFonts w:hint="eastAsia"/>
          <w:lang w:val="en-US" w:eastAsia="zh-CN"/>
        </w:rPr>
        <w:t>第四条　县级以上人民政府建设行政主管部门,负责本行政区域内城市污水处理特许经营活动的管理。</w:t>
      </w:r>
    </w:p>
    <w:p>
      <w:pPr>
        <w:rPr>
          <w:rFonts w:hint="eastAsia"/>
          <w:lang w:val="en-US" w:eastAsia="zh-CN"/>
        </w:rPr>
      </w:pPr>
      <w:r>
        <w:rPr>
          <w:rFonts w:hint="eastAsia"/>
          <w:lang w:val="en-US" w:eastAsia="zh-CN"/>
        </w:rPr>
        <w:t>县级以上人民政府的其他有关部门在各自的职责范围内依法做好与城市污水处理特许经营活动相关的工作。</w:t>
      </w:r>
    </w:p>
    <w:p>
      <w:pPr>
        <w:rPr>
          <w:rFonts w:hint="eastAsia"/>
          <w:lang w:val="en-US" w:eastAsia="zh-CN"/>
        </w:rPr>
      </w:pPr>
      <w:r>
        <w:rPr>
          <w:rFonts w:hint="eastAsia"/>
          <w:lang w:val="en-US" w:eastAsia="zh-CN"/>
        </w:rPr>
        <w:t>第五条　城市污水处理特许经营期限根据城市污水处理项目的规模、经营方式等因素确定,最长不得超过30年。</w:t>
      </w:r>
    </w:p>
    <w:p>
      <w:pPr>
        <w:rPr>
          <w:rFonts w:hint="eastAsia"/>
          <w:lang w:val="en-US" w:eastAsia="zh-CN"/>
        </w:rPr>
      </w:pPr>
      <w:r>
        <w:rPr>
          <w:rFonts w:hint="eastAsia"/>
          <w:lang w:val="en-US" w:eastAsia="zh-CN"/>
        </w:rPr>
        <w:t>第六条　城市人民政府选择城市污水处理特许经营者,应当由县级以上人民政府建设行政主管部门通过招标的方式进行。</w:t>
      </w:r>
    </w:p>
    <w:p>
      <w:pPr>
        <w:rPr>
          <w:rFonts w:hint="eastAsia"/>
          <w:lang w:val="en-US" w:eastAsia="zh-CN"/>
        </w:rPr>
      </w:pPr>
      <w:r>
        <w:rPr>
          <w:rFonts w:hint="eastAsia"/>
          <w:lang w:val="en-US" w:eastAsia="zh-CN"/>
        </w:rPr>
        <w:t>第七条　参加城市污水处理特许经营投标,应当具备下列条件:</w:t>
      </w:r>
    </w:p>
    <w:p>
      <w:pPr>
        <w:rPr>
          <w:rFonts w:hint="eastAsia"/>
          <w:lang w:val="en-US" w:eastAsia="zh-CN"/>
        </w:rPr>
      </w:pPr>
      <w:r>
        <w:rPr>
          <w:rFonts w:hint="eastAsia"/>
          <w:lang w:val="en-US" w:eastAsia="zh-CN"/>
        </w:rPr>
        <w:t>(一)属于企业法人;</w:t>
      </w:r>
    </w:p>
    <w:p>
      <w:pPr>
        <w:rPr>
          <w:rFonts w:hint="eastAsia"/>
          <w:lang w:val="en-US" w:eastAsia="zh-CN"/>
        </w:rPr>
      </w:pPr>
      <w:r>
        <w:rPr>
          <w:rFonts w:hint="eastAsia"/>
          <w:lang w:val="en-US" w:eastAsia="zh-CN"/>
        </w:rPr>
        <w:t>(二)具有相应的注册资本金和设备、设施;</w:t>
      </w:r>
    </w:p>
    <w:p>
      <w:pPr>
        <w:rPr>
          <w:rFonts w:hint="eastAsia"/>
          <w:lang w:val="en-US" w:eastAsia="zh-CN"/>
        </w:rPr>
      </w:pPr>
      <w:r>
        <w:rPr>
          <w:rFonts w:hint="eastAsia"/>
          <w:lang w:val="en-US" w:eastAsia="zh-CN"/>
        </w:rPr>
        <w:t>(三)具有良好的银行资信、财务状况及相应的偿债能力;</w:t>
      </w:r>
    </w:p>
    <w:p>
      <w:pPr>
        <w:rPr>
          <w:rFonts w:hint="eastAsia"/>
          <w:lang w:val="en-US" w:eastAsia="zh-CN"/>
        </w:rPr>
      </w:pPr>
      <w:r>
        <w:rPr>
          <w:rFonts w:hint="eastAsia"/>
          <w:lang w:val="en-US" w:eastAsia="zh-CN"/>
        </w:rPr>
        <w:t>(四)具有相应的从业经历和良好的业绩;</w:t>
      </w:r>
    </w:p>
    <w:p>
      <w:pPr>
        <w:rPr>
          <w:rFonts w:hint="eastAsia"/>
          <w:lang w:val="en-US" w:eastAsia="zh-CN"/>
        </w:rPr>
      </w:pPr>
      <w:r>
        <w:rPr>
          <w:rFonts w:hint="eastAsia"/>
          <w:lang w:val="en-US" w:eastAsia="zh-CN"/>
        </w:rPr>
        <w:t>(五)具有相应数量的技术、财务、管理人员;</w:t>
      </w:r>
    </w:p>
    <w:p>
      <w:pPr>
        <w:rPr>
          <w:rFonts w:hint="eastAsia"/>
          <w:lang w:val="en-US" w:eastAsia="zh-CN"/>
        </w:rPr>
      </w:pPr>
      <w:r>
        <w:rPr>
          <w:rFonts w:hint="eastAsia"/>
          <w:lang w:val="en-US" w:eastAsia="zh-CN"/>
        </w:rPr>
        <w:t>(六)国家规定的其他条件。</w:t>
      </w:r>
    </w:p>
    <w:p>
      <w:pPr>
        <w:rPr>
          <w:rFonts w:hint="eastAsia"/>
          <w:lang w:val="en-US" w:eastAsia="zh-CN"/>
        </w:rPr>
      </w:pPr>
      <w:r>
        <w:rPr>
          <w:rFonts w:hint="eastAsia"/>
          <w:lang w:val="en-US" w:eastAsia="zh-CN"/>
        </w:rPr>
        <w:t>第八条　中标者由县级以上人民政府建设行政主管部门授予城市污水处理特许经营权,并签订城市污水处理特许经营合同。</w:t>
      </w:r>
    </w:p>
    <w:p>
      <w:pPr>
        <w:rPr>
          <w:rFonts w:hint="eastAsia"/>
          <w:lang w:val="en-US" w:eastAsia="zh-CN"/>
        </w:rPr>
      </w:pPr>
      <w:r>
        <w:rPr>
          <w:rFonts w:hint="eastAsia"/>
          <w:lang w:val="en-US" w:eastAsia="zh-CN"/>
        </w:rPr>
        <w:t>第九条　城市污水处理特许经营者在合同的约定以外承担政府指令性公益任务造成经济损失的,下达该任务的政府应当给予其相应补偿。</w:t>
      </w:r>
    </w:p>
    <w:p>
      <w:pPr>
        <w:rPr>
          <w:rFonts w:hint="eastAsia"/>
          <w:lang w:val="en-US" w:eastAsia="zh-CN"/>
        </w:rPr>
      </w:pPr>
      <w:r>
        <w:rPr>
          <w:rFonts w:hint="eastAsia"/>
          <w:lang w:val="en-US" w:eastAsia="zh-CN"/>
        </w:rPr>
        <w:t>第十条　因行政区划变更与城市政府隶属关系发生改变的,由改变后的城市人民政府建设行政主管部门继续履行原城市污水处理特许经营合同。</w:t>
      </w:r>
    </w:p>
    <w:p>
      <w:pPr>
        <w:rPr>
          <w:rFonts w:hint="eastAsia"/>
          <w:lang w:val="en-US" w:eastAsia="zh-CN"/>
        </w:rPr>
      </w:pPr>
      <w:r>
        <w:rPr>
          <w:rFonts w:hint="eastAsia"/>
          <w:lang w:val="en-US" w:eastAsia="zh-CN"/>
        </w:rPr>
        <w:t>第十一条　在合同有效期间内,城市污水处理特许经营者拟中止合同的,必须在3个月之前告知县级以上人民政府建设行政主管部门,并按合同约定承担违约责任。</w:t>
      </w:r>
    </w:p>
    <w:p>
      <w:pPr>
        <w:rPr>
          <w:rFonts w:hint="eastAsia"/>
          <w:lang w:val="en-US" w:eastAsia="zh-CN"/>
        </w:rPr>
      </w:pPr>
      <w:r>
        <w:rPr>
          <w:rFonts w:hint="eastAsia"/>
          <w:lang w:val="en-US" w:eastAsia="zh-CN"/>
        </w:rPr>
        <w:t>第十二条　城市污水处理特许经营者,应当履行合同约定的责任,还应当接受城市人民政府有关部门依法进行的监督。</w:t>
      </w:r>
    </w:p>
    <w:p>
      <w:pPr>
        <w:rPr>
          <w:rFonts w:hint="eastAsia"/>
          <w:lang w:val="en-US" w:eastAsia="zh-CN"/>
        </w:rPr>
      </w:pPr>
      <w:r>
        <w:rPr>
          <w:rFonts w:hint="eastAsia"/>
          <w:lang w:val="en-US" w:eastAsia="zh-CN"/>
        </w:rPr>
        <w:t>第十三条　城市人民政府应当制定城市污水处理特许经营企业停产的应急预案。应急预案应当报上一级人民政府备案。</w:t>
      </w:r>
    </w:p>
    <w:p>
      <w:pPr>
        <w:rPr>
          <w:rFonts w:hint="eastAsia"/>
          <w:lang w:val="en-US" w:eastAsia="zh-CN"/>
        </w:rPr>
      </w:pPr>
      <w:r>
        <w:rPr>
          <w:rFonts w:hint="eastAsia"/>
          <w:lang w:val="en-US" w:eastAsia="zh-CN"/>
        </w:rPr>
        <w:t>第十四条　因城市人民政府的不当行为使城市污水处理特许经营者不能履行合同的,该城市人民政府应当负赔偿责任。</w:t>
      </w:r>
    </w:p>
    <w:p>
      <w:pPr>
        <w:rPr>
          <w:rFonts w:hint="eastAsia"/>
          <w:lang w:val="en-US" w:eastAsia="zh-CN"/>
        </w:rPr>
      </w:pPr>
      <w:r>
        <w:rPr>
          <w:rFonts w:hint="eastAsia"/>
          <w:lang w:val="en-US" w:eastAsia="zh-CN"/>
        </w:rPr>
        <w:t>第十五条　城市污水处理特许经营期限届满,县级以上人民政府建设行政主管部门应当重新组织招标,重新选择城市污水处理特许经营者。原城市污水处理特许经营者在履行合同期间未违约,并且参加投标的,在同等条件下具有优先中标的权利。</w:t>
      </w:r>
    </w:p>
    <w:p>
      <w:pPr>
        <w:rPr>
          <w:rFonts w:hint="eastAsia"/>
          <w:lang w:val="en-US" w:eastAsia="zh-CN"/>
        </w:rPr>
      </w:pPr>
      <w:r>
        <w:rPr>
          <w:rFonts w:hint="eastAsia"/>
          <w:lang w:val="en-US" w:eastAsia="zh-CN"/>
        </w:rPr>
        <w:t>第十六条　政府有关部门工作人员有下列行为之一的,由所在单位、上级机关或者有关主管部门依法给予行政处分,构成犯罪的由司法机关依法追究刑事责任:</w:t>
      </w:r>
    </w:p>
    <w:p>
      <w:pPr>
        <w:rPr>
          <w:rFonts w:hint="eastAsia"/>
          <w:lang w:val="en-US" w:eastAsia="zh-CN"/>
        </w:rPr>
      </w:pPr>
      <w:r>
        <w:rPr>
          <w:rFonts w:hint="eastAsia"/>
          <w:lang w:val="en-US" w:eastAsia="zh-CN"/>
        </w:rPr>
        <w:t>(一)不依法履行监督职责或者监督不力造成后果的;</w:t>
      </w:r>
    </w:p>
    <w:p>
      <w:pPr>
        <w:rPr>
          <w:rFonts w:hint="eastAsia"/>
          <w:lang w:val="en-US" w:eastAsia="zh-CN"/>
        </w:rPr>
      </w:pPr>
      <w:r>
        <w:rPr>
          <w:rFonts w:hint="eastAsia"/>
          <w:lang w:val="en-US" w:eastAsia="zh-CN"/>
        </w:rPr>
        <w:t>(二)玩忽职守、滥用职权、徇私舞弊的;</w:t>
      </w:r>
    </w:p>
    <w:p>
      <w:pPr>
        <w:rPr>
          <w:rFonts w:hint="eastAsia"/>
          <w:lang w:val="en-US" w:eastAsia="zh-CN"/>
        </w:rPr>
      </w:pPr>
      <w:r>
        <w:rPr>
          <w:rFonts w:hint="eastAsia"/>
          <w:lang w:val="en-US" w:eastAsia="zh-CN"/>
        </w:rPr>
        <w:t>(三)利用职务或者工作之便,为个人、他人谋取不正当利益的;</w:t>
      </w:r>
    </w:p>
    <w:p>
      <w:pPr>
        <w:rPr>
          <w:rFonts w:hint="eastAsia"/>
          <w:lang w:val="en-US" w:eastAsia="zh-CN"/>
        </w:rPr>
      </w:pPr>
      <w:r>
        <w:rPr>
          <w:rFonts w:hint="eastAsia"/>
          <w:lang w:val="en-US" w:eastAsia="zh-CN"/>
        </w:rPr>
        <w:t>(四)其他违法行为。</w:t>
      </w:r>
    </w:p>
    <w:p>
      <w:pPr>
        <w:rPr>
          <w:rFonts w:hint="eastAsia"/>
          <w:lang w:val="en-US" w:eastAsia="zh-CN"/>
        </w:rPr>
      </w:pPr>
      <w:r>
        <w:rPr>
          <w:rFonts w:hint="eastAsia"/>
          <w:lang w:val="en-US" w:eastAsia="zh-CN"/>
        </w:rPr>
        <w:t>第十七条　本办法自2006年8月1日起施行</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3A7692F"/>
    <w:rsid w:val="060149B4"/>
    <w:rsid w:val="06273D2F"/>
    <w:rsid w:val="066B5EED"/>
    <w:rsid w:val="068A3601"/>
    <w:rsid w:val="06B632D7"/>
    <w:rsid w:val="07D36BE9"/>
    <w:rsid w:val="0826101C"/>
    <w:rsid w:val="083246F7"/>
    <w:rsid w:val="083B2E68"/>
    <w:rsid w:val="08673D2A"/>
    <w:rsid w:val="0BFA61F5"/>
    <w:rsid w:val="0D870310"/>
    <w:rsid w:val="0F1B0E78"/>
    <w:rsid w:val="1008466C"/>
    <w:rsid w:val="14F977EC"/>
    <w:rsid w:val="15042A0E"/>
    <w:rsid w:val="16CE6E38"/>
    <w:rsid w:val="172E5427"/>
    <w:rsid w:val="17EE545F"/>
    <w:rsid w:val="184009FC"/>
    <w:rsid w:val="19404731"/>
    <w:rsid w:val="19453DBA"/>
    <w:rsid w:val="198860F9"/>
    <w:rsid w:val="1A270633"/>
    <w:rsid w:val="1AFF5544"/>
    <w:rsid w:val="1B0A3499"/>
    <w:rsid w:val="1C5F6E80"/>
    <w:rsid w:val="1C88487D"/>
    <w:rsid w:val="208E165E"/>
    <w:rsid w:val="2182268D"/>
    <w:rsid w:val="22EB08F5"/>
    <w:rsid w:val="24EC5364"/>
    <w:rsid w:val="2513233F"/>
    <w:rsid w:val="251865EA"/>
    <w:rsid w:val="25426E76"/>
    <w:rsid w:val="25917D75"/>
    <w:rsid w:val="26CF63DE"/>
    <w:rsid w:val="275012D1"/>
    <w:rsid w:val="28461F24"/>
    <w:rsid w:val="284E6B1C"/>
    <w:rsid w:val="291B0AEA"/>
    <w:rsid w:val="2A572873"/>
    <w:rsid w:val="2CD17B17"/>
    <w:rsid w:val="2D23250E"/>
    <w:rsid w:val="2E287751"/>
    <w:rsid w:val="2F030164"/>
    <w:rsid w:val="2F1C7246"/>
    <w:rsid w:val="305C3937"/>
    <w:rsid w:val="30CD5A85"/>
    <w:rsid w:val="343A33DF"/>
    <w:rsid w:val="349458E8"/>
    <w:rsid w:val="34D57524"/>
    <w:rsid w:val="3587093A"/>
    <w:rsid w:val="36EA50A7"/>
    <w:rsid w:val="3774779F"/>
    <w:rsid w:val="37C1347B"/>
    <w:rsid w:val="39E113F5"/>
    <w:rsid w:val="3B2F6EF7"/>
    <w:rsid w:val="3B3C4D54"/>
    <w:rsid w:val="3C5A4930"/>
    <w:rsid w:val="3CDF67F3"/>
    <w:rsid w:val="3D8E7553"/>
    <w:rsid w:val="3D961312"/>
    <w:rsid w:val="3D9A530C"/>
    <w:rsid w:val="3DEE1FA1"/>
    <w:rsid w:val="3E704349"/>
    <w:rsid w:val="41193F13"/>
    <w:rsid w:val="41375682"/>
    <w:rsid w:val="41F439C1"/>
    <w:rsid w:val="43F634B0"/>
    <w:rsid w:val="49DE71FB"/>
    <w:rsid w:val="4B4F1F4F"/>
    <w:rsid w:val="4B625615"/>
    <w:rsid w:val="4C710BC2"/>
    <w:rsid w:val="4D6C2539"/>
    <w:rsid w:val="4D765109"/>
    <w:rsid w:val="4E203123"/>
    <w:rsid w:val="4EFF5BB2"/>
    <w:rsid w:val="4FC72369"/>
    <w:rsid w:val="50C470CF"/>
    <w:rsid w:val="50CD5DC9"/>
    <w:rsid w:val="52AE776A"/>
    <w:rsid w:val="537E7798"/>
    <w:rsid w:val="552A4C57"/>
    <w:rsid w:val="563D0E89"/>
    <w:rsid w:val="56655F3F"/>
    <w:rsid w:val="56E74B5E"/>
    <w:rsid w:val="572040A1"/>
    <w:rsid w:val="575C6B12"/>
    <w:rsid w:val="576042C8"/>
    <w:rsid w:val="57EF46A5"/>
    <w:rsid w:val="587963E1"/>
    <w:rsid w:val="589565A0"/>
    <w:rsid w:val="59562BE0"/>
    <w:rsid w:val="5C8D1411"/>
    <w:rsid w:val="5CEA6EFD"/>
    <w:rsid w:val="5F8B1806"/>
    <w:rsid w:val="5FFD6D65"/>
    <w:rsid w:val="60414662"/>
    <w:rsid w:val="6080698E"/>
    <w:rsid w:val="60B35BAB"/>
    <w:rsid w:val="62D97CAF"/>
    <w:rsid w:val="63281C26"/>
    <w:rsid w:val="64013AF7"/>
    <w:rsid w:val="6554162F"/>
    <w:rsid w:val="656E2D54"/>
    <w:rsid w:val="65A31D7F"/>
    <w:rsid w:val="67DC3838"/>
    <w:rsid w:val="699F479A"/>
    <w:rsid w:val="69D8791C"/>
    <w:rsid w:val="6AD45200"/>
    <w:rsid w:val="6BA72C63"/>
    <w:rsid w:val="6BEA2F00"/>
    <w:rsid w:val="6C7675A4"/>
    <w:rsid w:val="6D9E4776"/>
    <w:rsid w:val="70283050"/>
    <w:rsid w:val="70590348"/>
    <w:rsid w:val="71527E7A"/>
    <w:rsid w:val="71A242AF"/>
    <w:rsid w:val="72F907FB"/>
    <w:rsid w:val="730533FF"/>
    <w:rsid w:val="749311F6"/>
    <w:rsid w:val="7584598A"/>
    <w:rsid w:val="78632FA7"/>
    <w:rsid w:val="78DE1F91"/>
    <w:rsid w:val="79EA7CFD"/>
    <w:rsid w:val="7A243901"/>
    <w:rsid w:val="7E114424"/>
    <w:rsid w:val="7E386B8A"/>
    <w:rsid w:val="7F481A79"/>
    <w:rsid w:val="7FBB0C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qFormat/>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uiPriority w:val="0"/>
    <w:rPr>
      <w:color w:val="666666"/>
      <w:sz w:val="18"/>
      <w:szCs w:val="18"/>
    </w:rPr>
  </w:style>
  <w:style w:type="character" w:customStyle="1" w:styleId="153">
    <w:name w:val="spanitalic"/>
    <w:basedOn w:val="7"/>
    <w:uiPriority w:val="0"/>
    <w:rPr>
      <w:color w:val="666666"/>
      <w:sz w:val="18"/>
      <w:szCs w:val="18"/>
    </w:rPr>
  </w:style>
  <w:style w:type="character" w:customStyle="1" w:styleId="154">
    <w:name w:val="fontstrikethrough"/>
    <w:basedOn w:val="7"/>
    <w:uiPriority w:val="0"/>
    <w:rPr>
      <w:strike/>
    </w:rPr>
  </w:style>
  <w:style w:type="character" w:customStyle="1" w:styleId="155">
    <w:name w:val="fontborder"/>
    <w:basedOn w:val="7"/>
    <w:uiPriority w:val="0"/>
    <w:rPr>
      <w:bdr w:val="single" w:color="000000" w:sz="6" w:space="0"/>
    </w:rPr>
  </w:style>
  <w:style w:type="paragraph" w:customStyle="1" w:styleId="156">
    <w:name w:val="c"/>
    <w:basedOn w:val="1"/>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uiPriority w:val="0"/>
    <w:pPr>
      <w:jc w:val="left"/>
    </w:pPr>
    <w:rPr>
      <w:b/>
      <w:color w:val="FF00FF"/>
      <w:kern w:val="0"/>
      <w:sz w:val="24"/>
      <w:szCs w:val="24"/>
      <w:lang w:val="en-US" w:eastAsia="zh-CN" w:bidi="ar"/>
    </w:rPr>
  </w:style>
  <w:style w:type="paragraph" w:customStyle="1" w:styleId="158">
    <w:name w:val="_Style 157"/>
    <w:basedOn w:val="1"/>
    <w:next w:val="1"/>
    <w:qFormat/>
    <w:uiPriority w:val="0"/>
    <w:pPr>
      <w:pBdr>
        <w:bottom w:val="single" w:color="auto" w:sz="6" w:space="1"/>
      </w:pBdr>
      <w:jc w:val="center"/>
    </w:pPr>
    <w:rPr>
      <w:rFonts w:ascii="Arial" w:eastAsia="宋体"/>
      <w:vanish/>
      <w:sz w:val="16"/>
    </w:rPr>
  </w:style>
  <w:style w:type="paragraph" w:customStyle="1" w:styleId="159">
    <w:name w:val="_Style 158"/>
    <w:basedOn w:val="1"/>
    <w:next w:val="1"/>
    <w:uiPriority w:val="0"/>
    <w:pPr>
      <w:pBdr>
        <w:top w:val="single" w:color="auto" w:sz="6" w:space="1"/>
      </w:pBdr>
      <w:jc w:val="center"/>
    </w:pPr>
    <w:rPr>
      <w:rFonts w:ascii="Arial" w:eastAsia="宋体"/>
      <w:vanish/>
      <w:sz w:val="16"/>
    </w:rPr>
  </w:style>
  <w:style w:type="character" w:customStyle="1" w:styleId="160">
    <w:name w:val="n1"/>
    <w:basedOn w:val="7"/>
    <w:uiPriority w:val="0"/>
    <w:rPr>
      <w:b/>
      <w:color w:val="000099"/>
      <w:sz w:val="21"/>
      <w:szCs w:val="21"/>
    </w:rPr>
  </w:style>
  <w:style w:type="character" w:customStyle="1" w:styleId="161">
    <w:name w:val="hover"/>
    <w:basedOn w:val="7"/>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uiPriority w:val="0"/>
    <w:pPr>
      <w:jc w:val="center"/>
    </w:pPr>
    <w:rPr>
      <w:b/>
      <w:color w:val="FF6600"/>
      <w:kern w:val="0"/>
      <w:sz w:val="24"/>
      <w:szCs w:val="24"/>
      <w:lang w:val="en-US" w:eastAsia="zh-CN" w:bidi="ar"/>
    </w:rPr>
  </w:style>
  <w:style w:type="character" w:customStyle="1" w:styleId="164">
    <w:name w:val="f-article-txt-fb1"/>
    <w:basedOn w:val="7"/>
    <w:uiPriority w:val="0"/>
    <w:rPr>
      <w:b/>
      <w:color w:val="FF6600"/>
    </w:rPr>
  </w:style>
  <w:style w:type="character" w:customStyle="1" w:styleId="165">
    <w:name w:val="hover2"/>
    <w:basedOn w:val="7"/>
    <w:uiPriority w:val="0"/>
    <w:rPr>
      <w:shd w:val="clear" w:fill="F3F3F3"/>
    </w:rPr>
  </w:style>
  <w:style w:type="character" w:customStyle="1" w:styleId="166">
    <w:name w:val="hover3"/>
    <w:basedOn w:val="7"/>
    <w:uiPriority w:val="0"/>
    <w:rPr>
      <w:shd w:val="clear" w:fill="F3F3F3"/>
    </w:rPr>
  </w:style>
  <w:style w:type="character" w:customStyle="1" w:styleId="167">
    <w:name w:val="spanmore4"/>
    <w:basedOn w:val="7"/>
    <w:uiPriority w:val="0"/>
  </w:style>
  <w:style w:type="character" w:customStyle="1" w:styleId="168">
    <w:name w:val="spanmore5"/>
    <w:basedOn w:val="7"/>
    <w:uiPriority w:val="0"/>
  </w:style>
  <w:style w:type="character" w:customStyle="1" w:styleId="169">
    <w:name w:val="spanmore6"/>
    <w:basedOn w:val="7"/>
    <w:uiPriority w:val="0"/>
  </w:style>
  <w:style w:type="character" w:customStyle="1" w:styleId="170">
    <w:name w:val="spanmore7"/>
    <w:basedOn w:val="7"/>
    <w:qFormat/>
    <w:uiPriority w:val="0"/>
  </w:style>
  <w:style w:type="character" w:customStyle="1" w:styleId="171">
    <w:name w:val="span_left28"/>
    <w:basedOn w:val="7"/>
    <w:uiPriority w:val="0"/>
    <w:rPr>
      <w:color w:val="666666"/>
      <w:sz w:val="18"/>
      <w:szCs w:val="18"/>
    </w:rPr>
  </w:style>
  <w:style w:type="character" w:customStyle="1" w:styleId="172">
    <w:name w:val="spantitle"/>
    <w:basedOn w:val="7"/>
    <w:uiPriority w:val="0"/>
    <w:rPr>
      <w:b/>
      <w:color w:val="FFFFFF"/>
    </w:rPr>
  </w:style>
  <w:style w:type="character" w:customStyle="1" w:styleId="173">
    <w:name w:val="spantitle1"/>
    <w:basedOn w:val="7"/>
    <w:uiPriority w:val="0"/>
    <w:rPr>
      <w:b/>
      <w:color w:val="000000"/>
      <w:sz w:val="21"/>
      <w:szCs w:val="21"/>
    </w:rPr>
  </w:style>
  <w:style w:type="character" w:customStyle="1" w:styleId="174">
    <w:name w:val="spantitle2"/>
    <w:basedOn w:val="7"/>
    <w:uiPriority w:val="0"/>
    <w:rPr>
      <w:b/>
      <w:color w:val="000000"/>
      <w:sz w:val="21"/>
      <w:szCs w:val="21"/>
    </w:rPr>
  </w:style>
  <w:style w:type="character" w:customStyle="1" w:styleId="175">
    <w:name w:val="spantitle3"/>
    <w:basedOn w:val="7"/>
    <w:uiPriority w:val="0"/>
    <w:rPr>
      <w:b/>
      <w:color w:val="000000"/>
      <w:sz w:val="21"/>
      <w:szCs w:val="21"/>
    </w:rPr>
  </w:style>
  <w:style w:type="character" w:customStyle="1" w:styleId="176">
    <w:name w:val="hover56"/>
    <w:basedOn w:val="7"/>
    <w:uiPriority w:val="0"/>
    <w:rPr>
      <w:shd w:val="clear" w:fill="F3F3F3"/>
    </w:rPr>
  </w:style>
  <w:style w:type="character" w:customStyle="1" w:styleId="177">
    <w:name w:val="hover61"/>
    <w:basedOn w:val="7"/>
    <w:uiPriority w:val="0"/>
    <w:rPr>
      <w:shd w:val="clear" w:fill="F3F3F3"/>
    </w:rPr>
  </w:style>
  <w:style w:type="character" w:customStyle="1" w:styleId="178">
    <w:name w:val="hover103"/>
    <w:basedOn w:val="7"/>
    <w:uiPriority w:val="0"/>
    <w:rPr>
      <w:shd w:val="clear" w:fill="F3F3F3"/>
    </w:rPr>
  </w:style>
  <w:style w:type="character" w:customStyle="1" w:styleId="179">
    <w:name w:val="hover104"/>
    <w:basedOn w:val="7"/>
    <w:uiPriority w:val="0"/>
    <w:rPr>
      <w:shd w:val="clear" w:fill="F3F3F3"/>
    </w:rPr>
  </w:style>
  <w:style w:type="character" w:customStyle="1" w:styleId="180">
    <w:name w:val="hover105"/>
    <w:basedOn w:val="7"/>
    <w:uiPriority w:val="0"/>
    <w:rPr>
      <w:shd w:val="clear" w:fill="F3F3F3"/>
    </w:rPr>
  </w:style>
  <w:style w:type="character" w:customStyle="1" w:styleId="181">
    <w:name w:val="hover106"/>
    <w:basedOn w:val="7"/>
    <w:qFormat/>
    <w:uiPriority w:val="0"/>
    <w:rPr>
      <w:shd w:val="clear" w:fill="F3F3F3"/>
    </w:rPr>
  </w:style>
  <w:style w:type="character" w:customStyle="1" w:styleId="182">
    <w:name w:val="sco"/>
    <w:basedOn w:val="7"/>
    <w:qFormat/>
    <w:uiPriority w:val="0"/>
    <w:rPr>
      <w:color w:val="0F7CC1"/>
    </w:rPr>
  </w:style>
  <w:style w:type="character" w:customStyle="1" w:styleId="183">
    <w:name w:val="tb_img"/>
    <w:basedOn w:val="7"/>
    <w:qFormat/>
    <w:uiPriority w:val="0"/>
  </w:style>
  <w:style w:type="character" w:customStyle="1" w:styleId="184">
    <w:name w:val="hover102"/>
    <w:basedOn w:val="7"/>
    <w:qFormat/>
    <w:uiPriority w:val="0"/>
    <w:rPr>
      <w:shd w:val="clear" w:fill="F3F3F3"/>
    </w:rPr>
  </w:style>
  <w:style w:type="paragraph" w:customStyle="1" w:styleId="185">
    <w:name w:val="contentarticle"/>
    <w:basedOn w:val="1"/>
    <w:qFormat/>
    <w:uiPriority w:val="0"/>
    <w:pPr>
      <w:jc w:val="left"/>
    </w:pPr>
    <w:rPr>
      <w:kern w:val="0"/>
      <w:sz w:val="21"/>
      <w:szCs w:val="21"/>
      <w:lang w:val="en-US" w:eastAsia="zh-CN" w:bidi="ar"/>
    </w:rPr>
  </w:style>
  <w:style w:type="character" w:customStyle="1" w:styleId="186">
    <w:name w:val="f141"/>
    <w:basedOn w:val="7"/>
    <w:qFormat/>
    <w:uiPriority w:val="0"/>
    <w:rPr>
      <w:sz w:val="21"/>
      <w:szCs w:val="21"/>
    </w:rPr>
  </w:style>
  <w:style w:type="character" w:customStyle="1" w:styleId="187">
    <w:name w:val="hover107"/>
    <w:basedOn w:val="7"/>
    <w:uiPriority w:val="0"/>
    <w:rPr>
      <w:shd w:val="clear" w:fill="F3F3F3"/>
    </w:rPr>
  </w:style>
  <w:style w:type="character" w:customStyle="1" w:styleId="188">
    <w:name w:val="at_sd_rh"/>
    <w:basedOn w:val="7"/>
    <w:uiPriority w:val="0"/>
  </w:style>
  <w:style w:type="character" w:customStyle="1" w:styleId="189">
    <w:name w:val="at_sd_rh2"/>
    <w:basedOn w:val="7"/>
    <w:uiPriority w:val="0"/>
  </w:style>
  <w:style w:type="character" w:customStyle="1" w:styleId="190">
    <w:name w:val="hover108"/>
    <w:basedOn w:val="7"/>
    <w:uiPriority w:val="0"/>
    <w:rPr>
      <w:shd w:val="clear" w:fill="F3F3F3"/>
    </w:rPr>
  </w:style>
  <w:style w:type="character" w:customStyle="1" w:styleId="191">
    <w:name w:val="hover109"/>
    <w:basedOn w:val="7"/>
    <w:uiPriority w:val="0"/>
    <w:rPr>
      <w:shd w:val="clear" w:fill="F3F3F3"/>
    </w:rPr>
  </w:style>
  <w:style w:type="character" w:customStyle="1" w:styleId="192">
    <w:name w:val="hover112"/>
    <w:basedOn w:val="7"/>
    <w:uiPriority w:val="0"/>
    <w:rPr>
      <w:shd w:val="clear" w:fill="F3F3F3"/>
    </w:rPr>
  </w:style>
  <w:style w:type="character" w:customStyle="1" w:styleId="193">
    <w:name w:val="hover113"/>
    <w:basedOn w:val="7"/>
    <w:uiPriority w:val="0"/>
    <w:rPr>
      <w:shd w:val="clear" w:fill="F3F3F3"/>
    </w:rPr>
  </w:style>
  <w:style w:type="paragraph" w:styleId="194">
    <w:name w:val=""/>
    <w:basedOn w:val="1"/>
    <w:next w:val="1"/>
    <w:uiPriority w:val="0"/>
    <w:pPr>
      <w:pBdr>
        <w:bottom w:val="single" w:color="auto" w:sz="6" w:space="1"/>
      </w:pBdr>
      <w:jc w:val="center"/>
    </w:pPr>
    <w:rPr>
      <w:rFonts w:ascii="Arial" w:eastAsia="宋体"/>
      <w:vanish/>
      <w:sz w:val="16"/>
    </w:rPr>
  </w:style>
  <w:style w:type="paragraph" w:styleId="195">
    <w:name w:val=""/>
    <w:basedOn w:val="1"/>
    <w:next w:val="1"/>
    <w:uiPriority w:val="0"/>
    <w:pPr>
      <w:pBdr>
        <w:top w:val="single" w:color="auto" w:sz="6" w:space="1"/>
      </w:pBdr>
      <w:jc w:val="center"/>
    </w:pPr>
    <w:rPr>
      <w:rFonts w:ascii="Arial" w:eastAsia="宋体"/>
      <w:vanish/>
      <w:sz w:val="16"/>
    </w:rPr>
  </w:style>
  <w:style w:type="character" w:customStyle="1" w:styleId="196">
    <w:name w:val="gray"/>
    <w:basedOn w:val="7"/>
    <w:uiPriority w:val="0"/>
    <w:rPr>
      <w:color w:val="666666"/>
    </w:rPr>
  </w:style>
  <w:style w:type="character" w:customStyle="1" w:styleId="197">
    <w:name w:val="text"/>
    <w:basedOn w:val="7"/>
    <w:uiPriority w:val="0"/>
    <w:rPr>
      <w:b/>
      <w:color w:val="000000"/>
      <w:sz w:val="21"/>
      <w:szCs w:val="21"/>
    </w:rPr>
  </w:style>
  <w:style w:type="character" w:customStyle="1" w:styleId="198">
    <w:name w:val="text1"/>
    <w:basedOn w:val="7"/>
    <w:uiPriority w:val="0"/>
    <w:rPr>
      <w:b/>
      <w:color w:val="00000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2016-08-10T07:35:50Z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