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贵州省风景名胜区内项目特许经营管理暂行办法</w:t>
      </w:r>
    </w:p>
    <w:p>
      <w:pPr>
        <w:rPr>
          <w:rFonts w:hint="eastAsia"/>
          <w:lang w:val="en-US" w:eastAsia="zh-CN"/>
        </w:rPr>
      </w:pPr>
      <w:r>
        <w:rPr>
          <w:rFonts w:hint="eastAsia"/>
          <w:lang w:val="en-US" w:eastAsia="zh-CN"/>
        </w:rPr>
        <w:t>第一条　为规范风景名胜区开发经营活动，保障国家利益、公共利益以及风景名胜区内项目特许经营者的合法权益，根据有关法律、法规，结合我省实际，制定本办法。</w:t>
      </w:r>
    </w:p>
    <w:p>
      <w:pPr>
        <w:rPr>
          <w:rFonts w:hint="eastAsia"/>
          <w:lang w:val="en-US" w:eastAsia="zh-CN"/>
        </w:rPr>
      </w:pPr>
      <w:r>
        <w:rPr>
          <w:rFonts w:hint="eastAsia"/>
          <w:lang w:val="en-US" w:eastAsia="zh-CN"/>
        </w:rPr>
        <w:t>第二条　本办法适用于我省行政区域各级风景名胜区内项目特许经营和监督管理活动。[1]</w:t>
      </w:r>
      <w:bookmarkStart w:id="0" w:name="ref_[1]_8064860"/>
      <w:r>
        <w:rPr>
          <w:rFonts w:hint="eastAsia"/>
          <w:lang w:val="en-US" w:eastAsia="zh-CN"/>
        </w:rPr>
        <w:t> </w:t>
      </w:r>
      <w:bookmarkEnd w:id="0"/>
      <w:r>
        <w:rPr>
          <w:rFonts w:hint="eastAsia"/>
          <w:lang w:val="en-US" w:eastAsia="zh-CN"/>
        </w:rPr>
        <w:t xml:space="preserve"> </w:t>
      </w:r>
    </w:p>
    <w:p>
      <w:pPr>
        <w:rPr>
          <w:rFonts w:hint="eastAsia"/>
          <w:lang w:val="en-US" w:eastAsia="zh-CN"/>
        </w:rPr>
      </w:pPr>
      <w:r>
        <w:rPr>
          <w:rFonts w:hint="eastAsia"/>
          <w:lang w:val="en-US" w:eastAsia="zh-CN"/>
        </w:rPr>
        <w:t>第三条　本办法所称风景名胜区内项目特许经营，是指公民、法人或者其它组织按照特定程序、法定标准和条件，在一定期限和范围内，有偿取得从事风景名胜区内整体或者单个项目投资、经营权利的活动。</w:t>
      </w:r>
    </w:p>
    <w:p>
      <w:pPr>
        <w:rPr>
          <w:rFonts w:hint="eastAsia"/>
          <w:lang w:val="en-US" w:eastAsia="zh-CN"/>
        </w:rPr>
      </w:pPr>
      <w:r>
        <w:rPr>
          <w:rFonts w:hint="eastAsia"/>
          <w:lang w:val="en-US" w:eastAsia="zh-CN"/>
        </w:rPr>
        <w:t>特许经营的项目包括风景名胜区内基础设施建设以及维护、交通(车队、船队、游路、索道等)、漂流及必要的餐饮、住宿、商品销售、娱乐、摄影、摄像和游客服务等。</w:t>
      </w:r>
    </w:p>
    <w:p>
      <w:pPr>
        <w:rPr>
          <w:rFonts w:hint="eastAsia"/>
          <w:lang w:val="en-US" w:eastAsia="zh-CN"/>
        </w:rPr>
      </w:pPr>
      <w:r>
        <w:rPr>
          <w:rFonts w:hint="eastAsia"/>
          <w:lang w:val="en-US" w:eastAsia="zh-CN"/>
        </w:rPr>
        <w:t>宗教活动场所不得列入特许经营项目的范围。</w:t>
      </w:r>
    </w:p>
    <w:p>
      <w:pPr>
        <w:rPr>
          <w:rFonts w:hint="eastAsia"/>
          <w:lang w:val="en-US" w:eastAsia="zh-CN"/>
        </w:rPr>
      </w:pPr>
      <w:r>
        <w:rPr>
          <w:rFonts w:hint="eastAsia"/>
          <w:lang w:val="en-US" w:eastAsia="zh-CN"/>
        </w:rPr>
        <w:t>第四条　风景名胜区应当依法编制规划。风景名胜区总体规划和控制性详细规划未经批准的，禁止开发建设和实施特许经营。</w:t>
      </w:r>
    </w:p>
    <w:p>
      <w:pPr>
        <w:rPr>
          <w:rFonts w:hint="eastAsia"/>
          <w:lang w:val="en-US" w:eastAsia="zh-CN"/>
        </w:rPr>
      </w:pPr>
      <w:r>
        <w:rPr>
          <w:rFonts w:hint="eastAsia"/>
          <w:lang w:val="en-US" w:eastAsia="zh-CN"/>
        </w:rPr>
        <w:t>实施特许经营的项目，应当符合经批准的规划，并按照规定程序报批。</w:t>
      </w:r>
    </w:p>
    <w:p>
      <w:pPr>
        <w:rPr>
          <w:rFonts w:hint="eastAsia"/>
          <w:lang w:val="en-US" w:eastAsia="zh-CN"/>
        </w:rPr>
      </w:pPr>
      <w:r>
        <w:rPr>
          <w:rFonts w:hint="eastAsia"/>
          <w:lang w:val="en-US" w:eastAsia="zh-CN"/>
        </w:rPr>
        <w:t>第五条　风景名胜资源属国家所有，不得违反国家有关法律法规出让或者变相出让风景名胜资源及景区土地。</w:t>
      </w:r>
    </w:p>
    <w:p>
      <w:pPr>
        <w:rPr>
          <w:rFonts w:hint="eastAsia"/>
          <w:lang w:val="en-US" w:eastAsia="zh-CN"/>
        </w:rPr>
      </w:pPr>
      <w:r>
        <w:rPr>
          <w:rFonts w:hint="eastAsia"/>
          <w:lang w:val="en-US" w:eastAsia="zh-CN"/>
        </w:rPr>
        <w:t>特许经营范围内国家投资形成的资产，其所有权和收益权属于国家；经依法评估后，可以采取作价入股、租赁等方式由特许经营者经营管理。</w:t>
      </w:r>
    </w:p>
    <w:p>
      <w:pPr>
        <w:rPr>
          <w:rFonts w:hint="eastAsia"/>
          <w:lang w:val="en-US" w:eastAsia="zh-CN"/>
        </w:rPr>
      </w:pPr>
      <w:r>
        <w:rPr>
          <w:rFonts w:hint="eastAsia"/>
          <w:lang w:val="en-US" w:eastAsia="zh-CN"/>
        </w:rPr>
        <w:t>第六条　特许经营者在特许经营期内，按规划在特许范围内更新、改造和新建的人文景观以及其他设施，在特许经营期满或者终止后，无偿归政府所有。</w:t>
      </w:r>
    </w:p>
    <w:p>
      <w:pPr>
        <w:rPr>
          <w:rFonts w:hint="eastAsia"/>
          <w:lang w:val="en-US" w:eastAsia="zh-CN"/>
        </w:rPr>
      </w:pPr>
      <w:r>
        <w:rPr>
          <w:rFonts w:hint="eastAsia"/>
          <w:lang w:val="en-US" w:eastAsia="zh-CN"/>
        </w:rPr>
        <w:t>第七条　风景名胜区内项目特许经营权(以下简称特许经营权)的授权主体是风景名胜区所在地的市(州、地)人民政府(行署)、县(市)人民政府或者其确定的建设行政主管部门、风景名胜区管理机构(以下简称授权主体)。</w:t>
      </w:r>
    </w:p>
    <w:p>
      <w:pPr>
        <w:rPr>
          <w:rFonts w:hint="eastAsia"/>
          <w:lang w:val="en-US" w:eastAsia="zh-CN"/>
        </w:rPr>
      </w:pPr>
      <w:r>
        <w:rPr>
          <w:rFonts w:hint="eastAsia"/>
          <w:lang w:val="en-US" w:eastAsia="zh-CN"/>
        </w:rPr>
        <w:t>第八条　省建设行政主管部门负责全省风景名胜区内项目特许经营的指导和监督工作。</w:t>
      </w:r>
    </w:p>
    <w:p>
      <w:pPr>
        <w:rPr>
          <w:rFonts w:hint="eastAsia"/>
          <w:lang w:val="en-US" w:eastAsia="zh-CN"/>
        </w:rPr>
      </w:pPr>
      <w:r>
        <w:rPr>
          <w:rFonts w:hint="eastAsia"/>
          <w:lang w:val="en-US" w:eastAsia="zh-CN"/>
        </w:rPr>
        <w:t>风景名胜区管理机构或者尚未成立管理机构的风景名胜区所在地的县级以上建设行政主管部门负责特许经营项目的具体实施和监督管理工作。</w:t>
      </w:r>
    </w:p>
    <w:p>
      <w:pPr>
        <w:rPr>
          <w:rFonts w:hint="eastAsia"/>
          <w:lang w:val="en-US" w:eastAsia="zh-CN"/>
        </w:rPr>
      </w:pPr>
      <w:r>
        <w:rPr>
          <w:rFonts w:hint="eastAsia"/>
          <w:lang w:val="en-US" w:eastAsia="zh-CN"/>
        </w:rPr>
        <w:t>有关行政主管部门按照各自职责，对特许经营活动实施监督。</w:t>
      </w:r>
    </w:p>
    <w:p>
      <w:pPr>
        <w:rPr>
          <w:rFonts w:hint="eastAsia"/>
          <w:lang w:val="en-US" w:eastAsia="zh-CN"/>
        </w:rPr>
      </w:pPr>
      <w:r>
        <w:rPr>
          <w:rFonts w:hint="eastAsia"/>
          <w:lang w:val="en-US" w:eastAsia="zh-CN"/>
        </w:rPr>
        <w:t>特许经营权</w:t>
      </w:r>
    </w:p>
    <w:p>
      <w:pPr>
        <w:rPr>
          <w:rFonts w:hint="eastAsia"/>
          <w:lang w:val="en-US" w:eastAsia="zh-CN"/>
        </w:rPr>
      </w:pPr>
      <w:r>
        <w:rPr>
          <w:rFonts w:hint="eastAsia"/>
          <w:lang w:val="en-US" w:eastAsia="zh-CN"/>
        </w:rPr>
        <w:t>第九条　风景名胜区内项目特许经营可以采取下列方式：</w:t>
      </w:r>
    </w:p>
    <w:p>
      <w:pPr>
        <w:rPr>
          <w:rFonts w:hint="eastAsia"/>
          <w:lang w:val="en-US" w:eastAsia="zh-CN"/>
        </w:rPr>
      </w:pPr>
      <w:r>
        <w:rPr>
          <w:rFonts w:hint="eastAsia"/>
          <w:lang w:val="en-US" w:eastAsia="zh-CN"/>
        </w:rPr>
        <w:t>(一)整体项目的特许经营最长期限为20年。在特许经营期限内，特许经营者可以对风景名胜区总体规划和控制性详细规划允许范围内的所有开发性和经营性项目进行投资建设、经营，期满后按特许经营协议无偿移交政府。</w:t>
      </w:r>
    </w:p>
    <w:p>
      <w:pPr>
        <w:rPr>
          <w:rFonts w:hint="eastAsia"/>
          <w:lang w:val="en-US" w:eastAsia="zh-CN"/>
        </w:rPr>
      </w:pPr>
      <w:r>
        <w:rPr>
          <w:rFonts w:hint="eastAsia"/>
          <w:lang w:val="en-US" w:eastAsia="zh-CN"/>
        </w:rPr>
        <w:t>(二)单个项目特许经营最长期限为15年。在特许经营期限内，特许经营者可以对风景名胜区总体规划和控制性详细规划允许范围内的单个开发性或者经营性项目进行建设、经营，期满后按特许经营协议无偿移交政府。?</w:t>
      </w:r>
    </w:p>
    <w:p>
      <w:pPr>
        <w:rPr>
          <w:rFonts w:hint="eastAsia"/>
          <w:lang w:val="en-US" w:eastAsia="zh-CN"/>
        </w:rPr>
      </w:pPr>
      <w:r>
        <w:rPr>
          <w:rFonts w:hint="eastAsia"/>
          <w:lang w:val="en-US" w:eastAsia="zh-CN"/>
        </w:rPr>
        <w:t>第十条　风景名胜区管理机构或者尚未成立管理机构的风景名胜区所在地的县级以上建设行政主管部门应当根据风景名胜区规划和发展需要，制定项目特许经营方案。</w:t>
      </w:r>
    </w:p>
    <w:p>
      <w:pPr>
        <w:rPr>
          <w:rFonts w:hint="eastAsia"/>
          <w:lang w:val="en-US" w:eastAsia="zh-CN"/>
        </w:rPr>
      </w:pPr>
      <w:r>
        <w:rPr>
          <w:rFonts w:hint="eastAsia"/>
          <w:lang w:val="en-US" w:eastAsia="zh-CN"/>
        </w:rPr>
        <w:t>国家重点风景名胜区内项目特许经营方案，应当经省建设行政主管部门组织相关部门及专家进行可行性论证并核准后，方可组织实施。</w:t>
      </w:r>
    </w:p>
    <w:p>
      <w:pPr>
        <w:rPr>
          <w:rFonts w:hint="eastAsia"/>
          <w:lang w:val="en-US" w:eastAsia="zh-CN"/>
        </w:rPr>
      </w:pPr>
      <w:r>
        <w:rPr>
          <w:rFonts w:hint="eastAsia"/>
          <w:lang w:val="en-US" w:eastAsia="zh-CN"/>
        </w:rPr>
        <w:t>省级、县(市)级风景名胜区内项目特许经营方案，应当经市(州、地)建设行政主管部门组织相关部门及专家进行可行性论证并核准后，方可组织实施，并且应当报省建设行政主管部门备案。</w:t>
      </w:r>
    </w:p>
    <w:p>
      <w:pPr>
        <w:rPr>
          <w:rFonts w:hint="eastAsia"/>
          <w:lang w:val="en-US" w:eastAsia="zh-CN"/>
        </w:rPr>
      </w:pPr>
      <w:r>
        <w:rPr>
          <w:rFonts w:hint="eastAsia"/>
          <w:lang w:val="en-US" w:eastAsia="zh-CN"/>
        </w:rPr>
        <w:t>第十一条　授权主体应当按招标投标法的规定，采用开发计划招标方式确定特许经营者。</w:t>
      </w:r>
    </w:p>
    <w:p>
      <w:pPr>
        <w:rPr>
          <w:rFonts w:hint="eastAsia"/>
          <w:lang w:val="en-US" w:eastAsia="zh-CN"/>
        </w:rPr>
      </w:pPr>
      <w:r>
        <w:rPr>
          <w:rFonts w:hint="eastAsia"/>
          <w:lang w:val="en-US" w:eastAsia="zh-CN"/>
        </w:rPr>
        <w:t>开发计划应当包括保护措施、规划实施、项目设置、投资计划、投资分析、营销策略、开发目标等内容。</w:t>
      </w:r>
    </w:p>
    <w:p>
      <w:pPr>
        <w:rPr>
          <w:rFonts w:hint="eastAsia"/>
          <w:lang w:val="en-US" w:eastAsia="zh-CN"/>
        </w:rPr>
      </w:pPr>
      <w:r>
        <w:rPr>
          <w:rFonts w:hint="eastAsia"/>
          <w:lang w:val="en-US" w:eastAsia="zh-CN"/>
        </w:rPr>
        <w:t>通过依法招标不能确定特许经营者的，国家重点风景名胜区经省人民政府批准，省级、县(市)级风景名胜区经省建设行政主管部门批准，授权主体可以采取其他公平竞争方式授予经营者特许经营权。</w:t>
      </w:r>
    </w:p>
    <w:p>
      <w:pPr>
        <w:rPr>
          <w:rFonts w:hint="eastAsia"/>
          <w:lang w:val="en-US" w:eastAsia="zh-CN"/>
        </w:rPr>
      </w:pPr>
      <w:r>
        <w:rPr>
          <w:rFonts w:hint="eastAsia"/>
          <w:lang w:val="en-US" w:eastAsia="zh-CN"/>
        </w:rPr>
        <w:t>第十二条　特许经营权的投标人应当具备以下条件：</w:t>
      </w:r>
    </w:p>
    <w:p>
      <w:pPr>
        <w:rPr>
          <w:rFonts w:hint="eastAsia"/>
          <w:lang w:val="en-US" w:eastAsia="zh-CN"/>
        </w:rPr>
      </w:pPr>
      <w:r>
        <w:rPr>
          <w:rFonts w:hint="eastAsia"/>
          <w:lang w:val="en-US" w:eastAsia="zh-CN"/>
        </w:rPr>
        <w:t>(一)法定的投标人主体资格；</w:t>
      </w:r>
    </w:p>
    <w:p>
      <w:pPr>
        <w:rPr>
          <w:rFonts w:hint="eastAsia"/>
          <w:lang w:val="en-US" w:eastAsia="zh-CN"/>
        </w:rPr>
      </w:pPr>
      <w:r>
        <w:rPr>
          <w:rFonts w:hint="eastAsia"/>
          <w:lang w:val="en-US" w:eastAsia="zh-CN"/>
        </w:rPr>
        <w:t>(二)完整可行的开发计划；</w:t>
      </w:r>
    </w:p>
    <w:p>
      <w:pPr>
        <w:rPr>
          <w:rFonts w:hint="eastAsia"/>
          <w:lang w:val="en-US" w:eastAsia="zh-CN"/>
        </w:rPr>
      </w:pPr>
      <w:r>
        <w:rPr>
          <w:rFonts w:hint="eastAsia"/>
          <w:lang w:val="en-US" w:eastAsia="zh-CN"/>
        </w:rPr>
        <w:t>(三)技术、经营负责人有相应从业经历和业绩，其他关键岗位人员有相应的从业能力；</w:t>
      </w:r>
    </w:p>
    <w:p>
      <w:pPr>
        <w:rPr>
          <w:rFonts w:hint="eastAsia"/>
          <w:lang w:val="en-US" w:eastAsia="zh-CN"/>
        </w:rPr>
      </w:pPr>
      <w:r>
        <w:rPr>
          <w:rFonts w:hint="eastAsia"/>
          <w:lang w:val="en-US" w:eastAsia="zh-CN"/>
        </w:rPr>
        <w:t>(四)相应的资金、设备和设施等；</w:t>
      </w:r>
    </w:p>
    <w:p>
      <w:pPr>
        <w:rPr>
          <w:rFonts w:hint="eastAsia"/>
          <w:lang w:val="en-US" w:eastAsia="zh-CN"/>
        </w:rPr>
      </w:pPr>
      <w:r>
        <w:rPr>
          <w:rFonts w:hint="eastAsia"/>
          <w:lang w:val="en-US" w:eastAsia="zh-CN"/>
        </w:rPr>
        <w:t>(五)无失信记录。</w:t>
      </w:r>
    </w:p>
    <w:p>
      <w:pPr>
        <w:rPr>
          <w:rFonts w:hint="eastAsia"/>
          <w:lang w:val="en-US" w:eastAsia="zh-CN"/>
        </w:rPr>
      </w:pPr>
      <w:r>
        <w:rPr>
          <w:rFonts w:hint="eastAsia"/>
          <w:lang w:val="en-US" w:eastAsia="zh-CN"/>
        </w:rPr>
        <w:t>第十三条　授权主体应当与中标人或者依法确定的特许经营者签订特许经营协议。特许经营协议应当包括下列内容：</w:t>
      </w:r>
    </w:p>
    <w:p>
      <w:pPr>
        <w:rPr>
          <w:rFonts w:hint="eastAsia"/>
          <w:lang w:val="en-US" w:eastAsia="zh-CN"/>
        </w:rPr>
      </w:pPr>
      <w:r>
        <w:rPr>
          <w:rFonts w:hint="eastAsia"/>
          <w:lang w:val="en-US" w:eastAsia="zh-CN"/>
        </w:rPr>
        <w:t>(一)项目名称、内容；</w:t>
      </w:r>
    </w:p>
    <w:p>
      <w:pPr>
        <w:rPr>
          <w:rFonts w:hint="eastAsia"/>
          <w:lang w:val="en-US" w:eastAsia="zh-CN"/>
        </w:rPr>
      </w:pPr>
      <w:r>
        <w:rPr>
          <w:rFonts w:hint="eastAsia"/>
          <w:lang w:val="en-US" w:eastAsia="zh-CN"/>
        </w:rPr>
        <w:t>(二)特许经营范围、方式和期限；</w:t>
      </w:r>
    </w:p>
    <w:p>
      <w:pPr>
        <w:rPr>
          <w:rFonts w:hint="eastAsia"/>
          <w:lang w:val="en-US" w:eastAsia="zh-CN"/>
        </w:rPr>
      </w:pPr>
      <w:r>
        <w:rPr>
          <w:rFonts w:hint="eastAsia"/>
          <w:lang w:val="en-US" w:eastAsia="zh-CN"/>
        </w:rPr>
        <w:t>(三)门票收取方式；</w:t>
      </w:r>
    </w:p>
    <w:p>
      <w:pPr>
        <w:rPr>
          <w:rFonts w:hint="eastAsia"/>
          <w:lang w:val="en-US" w:eastAsia="zh-CN"/>
        </w:rPr>
      </w:pPr>
      <w:r>
        <w:rPr>
          <w:rFonts w:hint="eastAsia"/>
          <w:lang w:val="en-US" w:eastAsia="zh-CN"/>
        </w:rPr>
        <w:t>(四)资源保护、生态建设的措施及资金；</w:t>
      </w:r>
    </w:p>
    <w:p>
      <w:pPr>
        <w:rPr>
          <w:rFonts w:hint="eastAsia"/>
          <w:lang w:val="en-US" w:eastAsia="zh-CN"/>
        </w:rPr>
      </w:pPr>
      <w:r>
        <w:rPr>
          <w:rFonts w:hint="eastAsia"/>
          <w:lang w:val="en-US" w:eastAsia="zh-CN"/>
        </w:rPr>
        <w:t>(五)产品或者服务的数量、质量和标准；</w:t>
      </w:r>
    </w:p>
    <w:p>
      <w:pPr>
        <w:rPr>
          <w:rFonts w:hint="eastAsia"/>
          <w:lang w:val="en-US" w:eastAsia="zh-CN"/>
        </w:rPr>
      </w:pPr>
      <w:r>
        <w:rPr>
          <w:rFonts w:hint="eastAsia"/>
          <w:lang w:val="en-US" w:eastAsia="zh-CN"/>
        </w:rPr>
        <w:t>(六)投融资期限和方式；</w:t>
      </w:r>
    </w:p>
    <w:p>
      <w:pPr>
        <w:rPr>
          <w:rFonts w:hint="eastAsia"/>
          <w:lang w:val="en-US" w:eastAsia="zh-CN"/>
        </w:rPr>
      </w:pPr>
      <w:r>
        <w:rPr>
          <w:rFonts w:hint="eastAsia"/>
          <w:lang w:val="en-US" w:eastAsia="zh-CN"/>
        </w:rPr>
        <w:t>(七)债务的解决方式；</w:t>
      </w:r>
    </w:p>
    <w:p>
      <w:pPr>
        <w:rPr>
          <w:rFonts w:hint="eastAsia"/>
          <w:lang w:val="en-US" w:eastAsia="zh-CN"/>
        </w:rPr>
      </w:pPr>
      <w:r>
        <w:rPr>
          <w:rFonts w:hint="eastAsia"/>
          <w:lang w:val="en-US" w:eastAsia="zh-CN"/>
        </w:rPr>
        <w:t>(八)特许经营权使用费收取方式和标准；</w:t>
      </w:r>
    </w:p>
    <w:p>
      <w:pPr>
        <w:rPr>
          <w:rFonts w:hint="eastAsia"/>
          <w:lang w:val="en-US" w:eastAsia="zh-CN"/>
        </w:rPr>
      </w:pPr>
      <w:r>
        <w:rPr>
          <w:rFonts w:hint="eastAsia"/>
          <w:lang w:val="en-US" w:eastAsia="zh-CN"/>
        </w:rPr>
        <w:t>(九)特许经营权收回和终止时的资源保护、资产处置；</w:t>
      </w:r>
    </w:p>
    <w:p>
      <w:pPr>
        <w:rPr>
          <w:rFonts w:hint="eastAsia"/>
          <w:lang w:val="en-US" w:eastAsia="zh-CN"/>
        </w:rPr>
      </w:pPr>
      <w:r>
        <w:rPr>
          <w:rFonts w:hint="eastAsia"/>
          <w:lang w:val="en-US" w:eastAsia="zh-CN"/>
        </w:rPr>
        <w:t>(十)特许期满或者政府提前收回项目的方式、程序；</w:t>
      </w:r>
    </w:p>
    <w:p>
      <w:pPr>
        <w:rPr>
          <w:rFonts w:hint="eastAsia"/>
          <w:lang w:val="en-US" w:eastAsia="zh-CN"/>
        </w:rPr>
      </w:pPr>
      <w:r>
        <w:rPr>
          <w:rFonts w:hint="eastAsia"/>
          <w:lang w:val="en-US" w:eastAsia="zh-CN"/>
        </w:rPr>
        <w:t>(十一)违约责任；</w:t>
      </w:r>
    </w:p>
    <w:p>
      <w:pPr>
        <w:rPr>
          <w:rFonts w:hint="eastAsia"/>
          <w:lang w:val="en-US" w:eastAsia="zh-CN"/>
        </w:rPr>
      </w:pPr>
      <w:r>
        <w:rPr>
          <w:rFonts w:hint="eastAsia"/>
          <w:lang w:val="en-US" w:eastAsia="zh-CN"/>
        </w:rPr>
        <w:t>(十二)争议解决方式；</w:t>
      </w:r>
    </w:p>
    <w:p>
      <w:pPr>
        <w:rPr>
          <w:rFonts w:hint="eastAsia"/>
          <w:lang w:val="en-US" w:eastAsia="zh-CN"/>
        </w:rPr>
      </w:pPr>
      <w:r>
        <w:rPr>
          <w:rFonts w:hint="eastAsia"/>
          <w:lang w:val="en-US" w:eastAsia="zh-CN"/>
        </w:rPr>
        <w:t>(十三)双方认为应当约定的其他事项。</w:t>
      </w:r>
    </w:p>
    <w:p>
      <w:pPr>
        <w:rPr>
          <w:rFonts w:hint="eastAsia"/>
          <w:lang w:val="en-US" w:eastAsia="zh-CN"/>
        </w:rPr>
      </w:pPr>
      <w:r>
        <w:rPr>
          <w:rFonts w:hint="eastAsia"/>
          <w:lang w:val="en-US" w:eastAsia="zh-CN"/>
        </w:rPr>
        <w:t>第十四条　国家重点风景名胜区的特许经营协议草案，报省建设行政主管部门核准后，由授权主体与特许经营者签订。</w:t>
      </w:r>
    </w:p>
    <w:p>
      <w:pPr>
        <w:rPr>
          <w:rFonts w:hint="eastAsia"/>
          <w:lang w:val="en-US" w:eastAsia="zh-CN"/>
        </w:rPr>
      </w:pPr>
      <w:r>
        <w:rPr>
          <w:rFonts w:hint="eastAsia"/>
          <w:lang w:val="en-US" w:eastAsia="zh-CN"/>
        </w:rPr>
        <w:t>省级、县(市)级风景名胜区的特许经营协议草案，由授权主体与特许经营者签订后，报省建设行政主管部门备案。</w:t>
      </w:r>
    </w:p>
    <w:p>
      <w:pPr>
        <w:rPr>
          <w:rFonts w:hint="eastAsia"/>
          <w:lang w:val="en-US" w:eastAsia="zh-CN"/>
        </w:rPr>
      </w:pPr>
      <w:r>
        <w:rPr>
          <w:rFonts w:hint="eastAsia"/>
          <w:lang w:val="en-US" w:eastAsia="zh-CN"/>
        </w:rPr>
        <w:t>第十五条　省建设行政主管部门应当自收到国家重点风景名胜区的特许经营协议草案之日起20日内做出决定。20日内不能做出决定的，经本行政机关负责人批准，可以延长10日，并应当将延长期限的理由告知行政管理相对人。</w:t>
      </w:r>
    </w:p>
    <w:p>
      <w:pPr>
        <w:rPr>
          <w:rFonts w:hint="eastAsia"/>
          <w:lang w:val="en-US" w:eastAsia="zh-CN"/>
        </w:rPr>
      </w:pPr>
      <w:r>
        <w:rPr>
          <w:rFonts w:hint="eastAsia"/>
          <w:lang w:val="en-US" w:eastAsia="zh-CN"/>
        </w:rPr>
        <w:t>第十六条　取得特许经营权的特许经营者，应当支付特许经营权使用费。</w:t>
      </w:r>
    </w:p>
    <w:p>
      <w:pPr>
        <w:rPr>
          <w:rFonts w:hint="eastAsia"/>
          <w:lang w:val="en-US" w:eastAsia="zh-CN"/>
        </w:rPr>
      </w:pPr>
      <w:r>
        <w:rPr>
          <w:rFonts w:hint="eastAsia"/>
          <w:lang w:val="en-US" w:eastAsia="zh-CN"/>
        </w:rPr>
        <w:t>特许经营权使用费的标准由省建设行政主管部门会同省级财政、价格主管部门制定。</w:t>
      </w:r>
    </w:p>
    <w:p>
      <w:pPr>
        <w:rPr>
          <w:rFonts w:hint="eastAsia"/>
          <w:lang w:val="en-US" w:eastAsia="zh-CN"/>
        </w:rPr>
      </w:pPr>
      <w:r>
        <w:rPr>
          <w:rFonts w:hint="eastAsia"/>
          <w:lang w:val="en-US" w:eastAsia="zh-CN"/>
        </w:rPr>
        <w:t>特许经营权使用费由授权主体收取，纳入同级地方财政基金预算，专项用于风景名胜区的保护、规划、建设和管理。</w:t>
      </w:r>
    </w:p>
    <w:p>
      <w:pPr>
        <w:rPr>
          <w:rFonts w:hint="eastAsia"/>
          <w:lang w:val="en-US" w:eastAsia="zh-CN"/>
        </w:rPr>
      </w:pPr>
      <w:r>
        <w:rPr>
          <w:rFonts w:hint="eastAsia"/>
          <w:lang w:val="en-US" w:eastAsia="zh-CN"/>
        </w:rPr>
        <w:t>新设立的风景名胜区的整体特许经营项目的特许经营权使用费，经特许经营权使用费标准制定部门批准后，可以在取得特许经营权后5年内减缴、免缴。</w:t>
      </w:r>
    </w:p>
    <w:p>
      <w:pPr>
        <w:rPr>
          <w:rFonts w:hint="eastAsia"/>
          <w:lang w:val="en-US" w:eastAsia="zh-CN"/>
        </w:rPr>
      </w:pPr>
      <w:r>
        <w:rPr>
          <w:rFonts w:hint="eastAsia"/>
          <w:lang w:val="en-US" w:eastAsia="zh-CN"/>
        </w:rPr>
        <w:t>第十七条　风景名胜区门票按有关规定收取和管理。门票价格由价格主管部门依法制定和调整。</w:t>
      </w:r>
    </w:p>
    <w:p>
      <w:pPr>
        <w:rPr>
          <w:rFonts w:hint="eastAsia"/>
          <w:lang w:val="en-US" w:eastAsia="zh-CN"/>
        </w:rPr>
      </w:pPr>
      <w:r>
        <w:rPr>
          <w:rFonts w:hint="eastAsia"/>
          <w:lang w:val="en-US" w:eastAsia="zh-CN"/>
        </w:rPr>
        <w:t>第十八条　特许经营者在特许经营协议约定范围内自主经营、自担风险，任何单位或者个人不得非法干涉。</w:t>
      </w:r>
    </w:p>
    <w:p>
      <w:pPr>
        <w:rPr>
          <w:rFonts w:hint="eastAsia"/>
          <w:lang w:val="en-US" w:eastAsia="zh-CN"/>
        </w:rPr>
      </w:pPr>
      <w:r>
        <w:rPr>
          <w:rFonts w:hint="eastAsia"/>
          <w:lang w:val="en-US" w:eastAsia="zh-CN"/>
        </w:rPr>
        <w:t>第十九条　特许经营期间，因不可抗力无法正常经营时，特许经营者应当向授权主体提出申请，经核准后，可以提前终止特许经营权。</w:t>
      </w:r>
    </w:p>
    <w:p>
      <w:pPr>
        <w:rPr>
          <w:rFonts w:hint="eastAsia"/>
          <w:lang w:val="en-US" w:eastAsia="zh-CN"/>
        </w:rPr>
      </w:pPr>
      <w:r>
        <w:rPr>
          <w:rFonts w:hint="eastAsia"/>
          <w:lang w:val="en-US" w:eastAsia="zh-CN"/>
        </w:rPr>
        <w:t>第二十条　授权主体应当在特许经营权期限届满时，按照本办法第十一条的规定重新选择特许经营者。重新选择特许经营者时，原经营者在同等条件下享有优先权。</w:t>
      </w:r>
    </w:p>
    <w:p>
      <w:pPr>
        <w:rPr>
          <w:rFonts w:hint="eastAsia"/>
          <w:lang w:val="en-US" w:eastAsia="zh-CN"/>
        </w:rPr>
      </w:pPr>
      <w:r>
        <w:rPr>
          <w:rFonts w:hint="eastAsia"/>
          <w:lang w:val="en-US" w:eastAsia="zh-CN"/>
        </w:rPr>
        <w:t>第二十一条　特许经营者不得以转让、出租、质押等方式处分特许经营权以及风景名胜资源。</w:t>
      </w:r>
    </w:p>
    <w:p>
      <w:pPr>
        <w:rPr>
          <w:rFonts w:hint="eastAsia"/>
          <w:b w:val="0"/>
          <w:bCs w:val="0"/>
          <w:lang w:val="en-US" w:eastAsia="zh-CN"/>
        </w:rPr>
      </w:pPr>
      <w:r>
        <w:rPr>
          <w:rFonts w:hint="eastAsia"/>
          <w:b w:val="0"/>
          <w:bCs w:val="0"/>
          <w:lang w:val="en-US" w:eastAsia="zh-CN"/>
        </w:rPr>
        <w:t>监督管理</w:t>
      </w:r>
    </w:p>
    <w:p>
      <w:pPr>
        <w:rPr>
          <w:rFonts w:hint="eastAsia"/>
          <w:lang w:val="en-US" w:eastAsia="zh-CN"/>
        </w:rPr>
      </w:pPr>
      <w:r>
        <w:rPr>
          <w:rFonts w:hint="eastAsia"/>
          <w:lang w:val="en-US" w:eastAsia="zh-CN"/>
        </w:rPr>
        <w:t>第二十二条　授权主体对特许经营者的以下行为进行监督管理：</w:t>
      </w:r>
    </w:p>
    <w:p>
      <w:pPr>
        <w:rPr>
          <w:rFonts w:hint="eastAsia"/>
          <w:lang w:val="en-US" w:eastAsia="zh-CN"/>
        </w:rPr>
      </w:pPr>
      <w:r>
        <w:rPr>
          <w:rFonts w:hint="eastAsia"/>
          <w:lang w:val="en-US" w:eastAsia="zh-CN"/>
        </w:rPr>
        <w:t>(一)保护风景名胜资源不受损害；</w:t>
      </w:r>
    </w:p>
    <w:p>
      <w:pPr>
        <w:rPr>
          <w:rFonts w:hint="eastAsia"/>
          <w:lang w:val="en-US" w:eastAsia="zh-CN"/>
        </w:rPr>
      </w:pPr>
      <w:r>
        <w:rPr>
          <w:rFonts w:hint="eastAsia"/>
          <w:lang w:val="en-US" w:eastAsia="zh-CN"/>
        </w:rPr>
        <w:t>(二)按照国家或者行业标准、要求提供安全、优质、稳定的服务，并实行普遍服务；</w:t>
      </w:r>
    </w:p>
    <w:p>
      <w:pPr>
        <w:rPr>
          <w:rFonts w:hint="eastAsia"/>
          <w:lang w:val="en-US" w:eastAsia="zh-CN"/>
        </w:rPr>
      </w:pPr>
      <w:r>
        <w:rPr>
          <w:rFonts w:hint="eastAsia"/>
          <w:lang w:val="en-US" w:eastAsia="zh-CN"/>
        </w:rPr>
        <w:t>(三)按规划维护、更新、改造或者新建人文景观；</w:t>
      </w:r>
    </w:p>
    <w:p>
      <w:pPr>
        <w:rPr>
          <w:rFonts w:hint="eastAsia"/>
          <w:lang w:val="en-US" w:eastAsia="zh-CN"/>
        </w:rPr>
      </w:pPr>
      <w:r>
        <w:rPr>
          <w:rFonts w:hint="eastAsia"/>
          <w:lang w:val="en-US" w:eastAsia="zh-CN"/>
        </w:rPr>
        <w:t>(四)按规划完善游路、供水、供电、排污以及环境卫生等公用设施；</w:t>
      </w:r>
    </w:p>
    <w:p>
      <w:pPr>
        <w:rPr>
          <w:rFonts w:hint="eastAsia"/>
          <w:lang w:val="en-US" w:eastAsia="zh-CN"/>
        </w:rPr>
      </w:pPr>
      <w:r>
        <w:rPr>
          <w:rFonts w:hint="eastAsia"/>
          <w:lang w:val="en-US" w:eastAsia="zh-CN"/>
        </w:rPr>
        <w:t>(五)执行价格主管部门依法制定的价格。</w:t>
      </w:r>
    </w:p>
    <w:p>
      <w:pPr>
        <w:rPr>
          <w:rFonts w:hint="eastAsia"/>
          <w:lang w:val="en-US" w:eastAsia="zh-CN"/>
        </w:rPr>
      </w:pPr>
      <w:r>
        <w:rPr>
          <w:rFonts w:hint="eastAsia"/>
          <w:lang w:val="en-US" w:eastAsia="zh-CN"/>
        </w:rPr>
        <w:t>第二十三条　授权主体应当履行以下义务：</w:t>
      </w:r>
    </w:p>
    <w:p>
      <w:pPr>
        <w:rPr>
          <w:rFonts w:hint="eastAsia"/>
          <w:lang w:val="en-US" w:eastAsia="zh-CN"/>
        </w:rPr>
      </w:pPr>
      <w:r>
        <w:rPr>
          <w:rFonts w:hint="eastAsia"/>
          <w:lang w:val="en-US" w:eastAsia="zh-CN"/>
        </w:rPr>
        <w:t>(一)负责拟订招标文件，组织招标；</w:t>
      </w:r>
    </w:p>
    <w:p>
      <w:pPr>
        <w:rPr>
          <w:rFonts w:hint="eastAsia"/>
          <w:lang w:val="en-US" w:eastAsia="zh-CN"/>
        </w:rPr>
      </w:pPr>
      <w:r>
        <w:rPr>
          <w:rFonts w:hint="eastAsia"/>
          <w:lang w:val="en-US" w:eastAsia="zh-CN"/>
        </w:rPr>
        <w:t>(二)监督特许经营者履行法定义务和特许经营协议，督促特许经营者实施开发计划；</w:t>
      </w:r>
    </w:p>
    <w:p>
      <w:pPr>
        <w:rPr>
          <w:rFonts w:hint="eastAsia"/>
          <w:lang w:val="en-US" w:eastAsia="zh-CN"/>
        </w:rPr>
      </w:pPr>
      <w:r>
        <w:rPr>
          <w:rFonts w:hint="eastAsia"/>
          <w:lang w:val="en-US" w:eastAsia="zh-CN"/>
        </w:rPr>
        <w:t>(三)受理并答复对特许经营者的投诉；</w:t>
      </w:r>
    </w:p>
    <w:p>
      <w:pPr>
        <w:rPr>
          <w:rFonts w:hint="eastAsia"/>
          <w:lang w:val="en-US" w:eastAsia="zh-CN"/>
        </w:rPr>
      </w:pPr>
      <w:r>
        <w:rPr>
          <w:rFonts w:hint="eastAsia"/>
          <w:lang w:val="en-US" w:eastAsia="zh-CN"/>
        </w:rPr>
        <w:t>(四)制定临时接管应急预案。</w:t>
      </w:r>
    </w:p>
    <w:p>
      <w:pPr>
        <w:rPr>
          <w:rFonts w:hint="eastAsia"/>
          <w:lang w:val="en-US" w:eastAsia="zh-CN"/>
        </w:rPr>
      </w:pPr>
      <w:r>
        <w:rPr>
          <w:rFonts w:hint="eastAsia"/>
          <w:lang w:val="en-US" w:eastAsia="zh-CN"/>
        </w:rPr>
        <w:t>第二十四条　特许经营者在经营期内有下列行为之一的，授权主体应当责令限期改正；逾期不改的，由授权主体实施临时接管：</w:t>
      </w:r>
    </w:p>
    <w:p>
      <w:pPr>
        <w:rPr>
          <w:rFonts w:hint="eastAsia"/>
          <w:lang w:val="en-US" w:eastAsia="zh-CN"/>
        </w:rPr>
      </w:pPr>
      <w:r>
        <w:rPr>
          <w:rFonts w:hint="eastAsia"/>
          <w:lang w:val="en-US" w:eastAsia="zh-CN"/>
        </w:rPr>
        <w:t>(一)擅自处分特许经营权、风景名胜资源或者变更特许经营内容的；</w:t>
      </w:r>
    </w:p>
    <w:p>
      <w:pPr>
        <w:rPr>
          <w:rFonts w:hint="eastAsia"/>
          <w:lang w:val="en-US" w:eastAsia="zh-CN"/>
        </w:rPr>
      </w:pPr>
      <w:r>
        <w:rPr>
          <w:rFonts w:hint="eastAsia"/>
          <w:lang w:val="en-US" w:eastAsia="zh-CN"/>
        </w:rPr>
        <w:t>(二)擅自停业、歇业影响公共利益和公共安全的；</w:t>
      </w:r>
    </w:p>
    <w:p>
      <w:pPr>
        <w:rPr>
          <w:rFonts w:hint="eastAsia"/>
          <w:lang w:val="en-US" w:eastAsia="zh-CN"/>
        </w:rPr>
      </w:pPr>
      <w:r>
        <w:rPr>
          <w:rFonts w:hint="eastAsia"/>
          <w:lang w:val="en-US" w:eastAsia="zh-CN"/>
        </w:rPr>
        <w:t>(三)经营活动严重违反规定，或者经营设施、安全设施不符合标准，或者存在安全隐患的。</w:t>
      </w:r>
    </w:p>
    <w:p>
      <w:pPr>
        <w:rPr>
          <w:rFonts w:hint="eastAsia"/>
          <w:lang w:val="en-US" w:eastAsia="zh-CN"/>
        </w:rPr>
      </w:pPr>
      <w:r>
        <w:rPr>
          <w:rFonts w:hint="eastAsia"/>
          <w:lang w:val="en-US" w:eastAsia="zh-CN"/>
        </w:rPr>
        <w:t>第二十五条　特许经营权被实施临时接管或者提前终止后，原特许经营者应当在授权主体规定的时间内，将维持特许经营业务正常运行所必需的资产、档案移交授权主体。在授权主体完成接管前，特许经营者应当按授权主体的要求，履行职责，维持正常经营。</w:t>
      </w:r>
    </w:p>
    <w:p>
      <w:pPr>
        <w:rPr>
          <w:rFonts w:hint="eastAsia"/>
          <w:lang w:val="en-US" w:eastAsia="zh-CN"/>
        </w:rPr>
      </w:pPr>
      <w:r>
        <w:rPr>
          <w:rFonts w:hint="eastAsia"/>
          <w:lang w:val="en-US" w:eastAsia="zh-CN"/>
        </w:rPr>
        <w:t>第二十六条　授权主体会同有关部门按照本办法第二十二条规定，对特许经营者每2年实施一次评估。</w:t>
      </w:r>
    </w:p>
    <w:p>
      <w:pPr>
        <w:rPr>
          <w:rFonts w:hint="eastAsia"/>
          <w:lang w:val="en-US" w:eastAsia="zh-CN"/>
        </w:rPr>
      </w:pPr>
      <w:r>
        <w:rPr>
          <w:rFonts w:hint="eastAsia"/>
          <w:lang w:val="en-US" w:eastAsia="zh-CN"/>
        </w:rPr>
        <w:t>有关行政主管部门及授权主体在实施监督、检查时，不得妨碍特许经营者的合法经营活动。</w:t>
      </w:r>
    </w:p>
    <w:p>
      <w:pPr>
        <w:rPr>
          <w:rFonts w:hint="eastAsia"/>
          <w:lang w:val="en-US" w:eastAsia="zh-CN"/>
        </w:rPr>
      </w:pPr>
      <w:r>
        <w:rPr>
          <w:rFonts w:hint="eastAsia"/>
          <w:lang w:val="en-US" w:eastAsia="zh-CN"/>
        </w:rPr>
        <w:t>第二十七条　特许经营项目的产品、服务价格实行政府定价或者指导价的，由价格主管部门依法制定和调整。</w:t>
      </w:r>
    </w:p>
    <w:p>
      <w:pPr>
        <w:rPr>
          <w:rFonts w:hint="eastAsia"/>
          <w:lang w:val="en-US" w:eastAsia="zh-CN"/>
        </w:rPr>
      </w:pPr>
      <w:r>
        <w:rPr>
          <w:rFonts w:hint="eastAsia"/>
          <w:lang w:val="en-US" w:eastAsia="zh-CN"/>
        </w:rPr>
        <w:t>法律责任</w:t>
      </w:r>
    </w:p>
    <w:p>
      <w:pPr>
        <w:rPr>
          <w:rFonts w:hint="eastAsia"/>
          <w:lang w:val="en-US" w:eastAsia="zh-CN"/>
        </w:rPr>
      </w:pPr>
      <w:r>
        <w:rPr>
          <w:rFonts w:hint="eastAsia"/>
          <w:lang w:val="en-US" w:eastAsia="zh-CN"/>
        </w:rPr>
        <w:t>第二十八条　特许经营者有本办法第二十四条规定行为，被授权主体实施临时接管的，自被接管之日起3年内，该特许经营者不得在我省从事风景名胜区内项目特许经营活动。</w:t>
      </w:r>
    </w:p>
    <w:p>
      <w:pPr>
        <w:rPr>
          <w:rFonts w:hint="eastAsia"/>
          <w:lang w:val="en-US" w:eastAsia="zh-CN"/>
        </w:rPr>
      </w:pPr>
      <w:r>
        <w:rPr>
          <w:rFonts w:hint="eastAsia"/>
          <w:lang w:val="en-US" w:eastAsia="zh-CN"/>
        </w:rPr>
        <w:t>第二十九条　特许经营者违反本办法，有下列行为之一，尚未构成犯罪的，由授权主体或者其他有关部门责令限期改正、恢复原状、赔偿经济损失，并可以处1万元以上3万元以下罚款；情节严重的，撤销特许经营权：</w:t>
      </w:r>
    </w:p>
    <w:p>
      <w:pPr>
        <w:rPr>
          <w:rFonts w:hint="eastAsia"/>
          <w:lang w:val="en-US" w:eastAsia="zh-CN"/>
        </w:rPr>
      </w:pPr>
      <w:r>
        <w:rPr>
          <w:rFonts w:hint="eastAsia"/>
          <w:lang w:val="en-US" w:eastAsia="zh-CN"/>
        </w:rPr>
        <w:t>(一)在经营活动中破坏特有景观或者使其失去原有科学、观赏价值的；</w:t>
      </w:r>
    </w:p>
    <w:p>
      <w:pPr>
        <w:rPr>
          <w:rFonts w:hint="eastAsia"/>
          <w:lang w:val="en-US" w:eastAsia="zh-CN"/>
        </w:rPr>
      </w:pPr>
      <w:r>
        <w:rPr>
          <w:rFonts w:hint="eastAsia"/>
          <w:lang w:val="en-US" w:eastAsia="zh-CN"/>
        </w:rPr>
        <w:t>(二)不按批准的景区规划建设的。</w:t>
      </w:r>
    </w:p>
    <w:p>
      <w:pPr>
        <w:rPr>
          <w:rFonts w:hint="eastAsia"/>
          <w:lang w:val="en-US" w:eastAsia="zh-CN"/>
        </w:rPr>
      </w:pPr>
      <w:r>
        <w:rPr>
          <w:rFonts w:hint="eastAsia"/>
          <w:lang w:val="en-US" w:eastAsia="zh-CN"/>
        </w:rPr>
        <w:t>第三十条　特许经营者违反本办法，有下列行为之一，尚未构成犯罪的，由授权主体或者其他有关部门责令限期改正，并可以处1万元以上3万元以下罚款；情节严重的，撤销特许经营权：</w:t>
      </w:r>
    </w:p>
    <w:p>
      <w:pPr>
        <w:rPr>
          <w:rFonts w:hint="eastAsia"/>
          <w:lang w:val="en-US" w:eastAsia="zh-CN"/>
        </w:rPr>
      </w:pPr>
      <w:r>
        <w:rPr>
          <w:rFonts w:hint="eastAsia"/>
          <w:lang w:val="en-US" w:eastAsia="zh-CN"/>
        </w:rPr>
        <w:t>(一)2年内没有实施开发计划的；</w:t>
      </w:r>
    </w:p>
    <w:p>
      <w:pPr>
        <w:rPr>
          <w:rFonts w:hint="eastAsia"/>
          <w:lang w:val="en-US" w:eastAsia="zh-CN"/>
        </w:rPr>
      </w:pPr>
      <w:r>
        <w:rPr>
          <w:rFonts w:hint="eastAsia"/>
          <w:lang w:val="en-US" w:eastAsia="zh-CN"/>
        </w:rPr>
        <w:t>(二)不按规定缴纳特许经营权使用费的；</w:t>
      </w:r>
    </w:p>
    <w:p>
      <w:pPr>
        <w:rPr>
          <w:rFonts w:hint="eastAsia"/>
          <w:lang w:val="en-US" w:eastAsia="zh-CN"/>
        </w:rPr>
      </w:pPr>
      <w:r>
        <w:rPr>
          <w:rFonts w:hint="eastAsia"/>
          <w:lang w:val="en-US" w:eastAsia="zh-CN"/>
        </w:rPr>
        <w:t>(三)违反本办法第二十一条规定，或者擅自处分特许经营权或者风景名胜资源的；</w:t>
      </w:r>
    </w:p>
    <w:p>
      <w:pPr>
        <w:rPr>
          <w:rFonts w:hint="eastAsia"/>
          <w:lang w:val="en-US" w:eastAsia="zh-CN"/>
        </w:rPr>
      </w:pPr>
      <w:r>
        <w:rPr>
          <w:rFonts w:hint="eastAsia"/>
          <w:lang w:val="en-US" w:eastAsia="zh-CN"/>
        </w:rPr>
        <w:t>(四)擅自变更特许经营内容的；</w:t>
      </w:r>
    </w:p>
    <w:p>
      <w:pPr>
        <w:rPr>
          <w:rFonts w:hint="eastAsia"/>
          <w:lang w:val="en-US" w:eastAsia="zh-CN"/>
        </w:rPr>
      </w:pPr>
      <w:r>
        <w:rPr>
          <w:rFonts w:hint="eastAsia"/>
          <w:lang w:val="en-US" w:eastAsia="zh-CN"/>
        </w:rPr>
        <w:t>(五)擅自停业、歇业影响公共利益和公共安全的；</w:t>
      </w:r>
    </w:p>
    <w:p>
      <w:pPr>
        <w:rPr>
          <w:rFonts w:hint="eastAsia"/>
          <w:lang w:val="en-US" w:eastAsia="zh-CN"/>
        </w:rPr>
      </w:pPr>
      <w:r>
        <w:rPr>
          <w:rFonts w:hint="eastAsia"/>
          <w:lang w:val="en-US" w:eastAsia="zh-CN"/>
        </w:rPr>
        <w:t>(六)经营活动严重违反规定，经营设施、安全设施不符合标准，或者存在明显安全隐患的。</w:t>
      </w:r>
    </w:p>
    <w:p>
      <w:pPr>
        <w:rPr>
          <w:rFonts w:hint="eastAsia"/>
          <w:lang w:val="en-US" w:eastAsia="zh-CN"/>
        </w:rPr>
      </w:pPr>
      <w:r>
        <w:rPr>
          <w:rFonts w:hint="eastAsia"/>
          <w:lang w:val="en-US" w:eastAsia="zh-CN"/>
        </w:rPr>
        <w:t>第三十一条　授权主体有下列情形之一，由其上级行政机关责令限期改正；尚未构成犯罪的，对直接负责的主管人员和其他直接责任人员依法给予行政处分：</w:t>
      </w:r>
    </w:p>
    <w:p>
      <w:pPr>
        <w:rPr>
          <w:rFonts w:hint="eastAsia"/>
          <w:lang w:val="en-US" w:eastAsia="zh-CN"/>
        </w:rPr>
      </w:pPr>
      <w:r>
        <w:rPr>
          <w:rFonts w:hint="eastAsia"/>
          <w:lang w:val="en-US" w:eastAsia="zh-CN"/>
        </w:rPr>
        <w:t>(一)风景名胜区总体规划和控制性详细规划未经批准前，开发建设和实施特许经营的；</w:t>
      </w:r>
    </w:p>
    <w:p>
      <w:pPr>
        <w:rPr>
          <w:rFonts w:hint="eastAsia"/>
          <w:lang w:val="en-US" w:eastAsia="zh-CN"/>
        </w:rPr>
      </w:pPr>
      <w:r>
        <w:rPr>
          <w:rFonts w:hint="eastAsia"/>
          <w:lang w:val="en-US" w:eastAsia="zh-CN"/>
        </w:rPr>
        <w:t>(二)对不符合法定条件的申请人授予特许经营权或者超越法定职权授予特许经营权的；</w:t>
      </w:r>
    </w:p>
    <w:p>
      <w:pPr>
        <w:rPr>
          <w:rFonts w:hint="eastAsia"/>
          <w:lang w:val="en-US" w:eastAsia="zh-CN"/>
        </w:rPr>
      </w:pPr>
      <w:r>
        <w:rPr>
          <w:rFonts w:hint="eastAsia"/>
          <w:lang w:val="en-US" w:eastAsia="zh-CN"/>
        </w:rPr>
        <w:t>(三)对符合招投标条件的项目，未经招标或者不根据招标结果选择特许经营者的。</w:t>
      </w:r>
    </w:p>
    <w:p>
      <w:pPr>
        <w:rPr>
          <w:rFonts w:hint="eastAsia"/>
          <w:lang w:val="en-US" w:eastAsia="zh-CN"/>
        </w:rPr>
      </w:pPr>
      <w:r>
        <w:rPr>
          <w:rFonts w:hint="eastAsia"/>
          <w:lang w:val="en-US" w:eastAsia="zh-CN"/>
        </w:rPr>
        <w:t>第三十二条　政府及其有关主管部门，不履行或者不正确履行对风景名胜区内项目的监督管理职责，造成风景名胜资源、生态环境遭到破坏、国有资产损失，或者侵害行政管理相对人的合法权益，由其上级行政机关或者监察机关责令限期改正；尚未构成犯罪的，对直接负责的主管人员和其他直接责任人员依法给予行政处分。</w:t>
      </w:r>
    </w:p>
    <w:p>
      <w:pPr>
        <w:rPr>
          <w:rFonts w:hint="eastAsia"/>
          <w:lang w:val="en-US" w:eastAsia="zh-CN"/>
        </w:rPr>
      </w:pPr>
      <w:r>
        <w:rPr>
          <w:rFonts w:hint="eastAsia"/>
          <w:lang w:val="en-US" w:eastAsia="zh-CN"/>
        </w:rPr>
        <w:t>第三十三条　授权主体的工作人员在特许经营授权或者实施监督检查中，徇私舞弊，滥用职权，尚未构成犯罪的，依法给予行政处分。</w:t>
      </w:r>
    </w:p>
    <w:p>
      <w:pPr>
        <w:rPr>
          <w:rFonts w:hint="eastAsia"/>
          <w:lang w:val="en-US" w:eastAsia="zh-CN"/>
        </w:rPr>
      </w:pPr>
      <w:bookmarkStart w:id="1" w:name="_GoBack"/>
      <w:bookmarkEnd w:id="1"/>
      <w:r>
        <w:rPr>
          <w:rFonts w:hint="eastAsia"/>
          <w:lang w:val="en-US" w:eastAsia="zh-CN"/>
        </w:rPr>
        <w:t>附则</w:t>
      </w:r>
    </w:p>
    <w:p>
      <w:pPr>
        <w:rPr>
          <w:rFonts w:hint="eastAsia"/>
          <w:lang w:val="en-US" w:eastAsia="zh-CN"/>
        </w:rPr>
      </w:pPr>
      <w:r>
        <w:rPr>
          <w:rFonts w:hint="eastAsia"/>
          <w:lang w:val="en-US" w:eastAsia="zh-CN"/>
        </w:rPr>
        <w:t>第三十四条　本办法自2005年9月1日起施行。</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208E165E"/>
    <w:rsid w:val="2182268D"/>
    <w:rsid w:val="22EB08F5"/>
    <w:rsid w:val="24EC5364"/>
    <w:rsid w:val="2513233F"/>
    <w:rsid w:val="251865EA"/>
    <w:rsid w:val="25426E76"/>
    <w:rsid w:val="25917D75"/>
    <w:rsid w:val="26CF63DE"/>
    <w:rsid w:val="275012D1"/>
    <w:rsid w:val="2806202D"/>
    <w:rsid w:val="28461F24"/>
    <w:rsid w:val="284E6B1C"/>
    <w:rsid w:val="291B0AEA"/>
    <w:rsid w:val="2A572873"/>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F439C1"/>
    <w:rsid w:val="43F634B0"/>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C8D1411"/>
    <w:rsid w:val="5CEA6EFD"/>
    <w:rsid w:val="5F8B1806"/>
    <w:rsid w:val="5FFD6D65"/>
    <w:rsid w:val="60414662"/>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qFormat/>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 w:type="character" w:customStyle="1" w:styleId="176">
    <w:name w:val="hover56"/>
    <w:basedOn w:val="7"/>
    <w:uiPriority w:val="0"/>
    <w:rPr>
      <w:shd w:val="clear" w:fill="F3F3F3"/>
    </w:rPr>
  </w:style>
  <w:style w:type="character" w:customStyle="1" w:styleId="177">
    <w:name w:val="hover61"/>
    <w:basedOn w:val="7"/>
    <w:uiPriority w:val="0"/>
    <w:rPr>
      <w:shd w:val="clear" w:fill="F3F3F3"/>
    </w:rPr>
  </w:style>
  <w:style w:type="character" w:customStyle="1" w:styleId="178">
    <w:name w:val="hover103"/>
    <w:basedOn w:val="7"/>
    <w:uiPriority w:val="0"/>
    <w:rPr>
      <w:shd w:val="clear" w:fill="F3F3F3"/>
    </w:rPr>
  </w:style>
  <w:style w:type="character" w:customStyle="1" w:styleId="179">
    <w:name w:val="hover104"/>
    <w:basedOn w:val="7"/>
    <w:uiPriority w:val="0"/>
    <w:rPr>
      <w:shd w:val="clear" w:fill="F3F3F3"/>
    </w:rPr>
  </w:style>
  <w:style w:type="character" w:customStyle="1" w:styleId="180">
    <w:name w:val="hover105"/>
    <w:basedOn w:val="7"/>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uiPriority w:val="0"/>
    <w:rPr>
      <w:shd w:val="clear" w:fill="F3F3F3"/>
    </w:rPr>
  </w:style>
  <w:style w:type="character" w:customStyle="1" w:styleId="188">
    <w:name w:val="at_sd_rh"/>
    <w:basedOn w:val="7"/>
    <w:uiPriority w:val="0"/>
  </w:style>
  <w:style w:type="character" w:customStyle="1" w:styleId="189">
    <w:name w:val="at_sd_rh2"/>
    <w:basedOn w:val="7"/>
    <w:uiPriority w:val="0"/>
  </w:style>
  <w:style w:type="character" w:customStyle="1" w:styleId="190">
    <w:name w:val="hover108"/>
    <w:basedOn w:val="7"/>
    <w:uiPriority w:val="0"/>
    <w:rPr>
      <w:shd w:val="clear" w:fill="F3F3F3"/>
    </w:rPr>
  </w:style>
  <w:style w:type="character" w:customStyle="1" w:styleId="191">
    <w:name w:val="hover109"/>
    <w:basedOn w:val="7"/>
    <w:uiPriority w:val="0"/>
    <w:rPr>
      <w:shd w:val="clear" w:fill="F3F3F3"/>
    </w:rPr>
  </w:style>
  <w:style w:type="character" w:customStyle="1" w:styleId="192">
    <w:name w:val="hover112"/>
    <w:basedOn w:val="7"/>
    <w:uiPriority w:val="0"/>
    <w:rPr>
      <w:shd w:val="clear" w:fill="F3F3F3"/>
    </w:rPr>
  </w:style>
  <w:style w:type="character" w:customStyle="1" w:styleId="193">
    <w:name w:val="hover113"/>
    <w:basedOn w:val="7"/>
    <w:uiPriority w:val="0"/>
    <w:rPr>
      <w:shd w:val="clear" w:fill="F3F3F3"/>
    </w:rPr>
  </w:style>
  <w:style w:type="paragraph" w:styleId="194">
    <w:name w:val=""/>
    <w:basedOn w:val="1"/>
    <w:next w:val="1"/>
    <w:uiPriority w:val="0"/>
    <w:pPr>
      <w:pBdr>
        <w:bottom w:val="single" w:color="auto" w:sz="6" w:space="1"/>
      </w:pBdr>
      <w:jc w:val="center"/>
    </w:pPr>
    <w:rPr>
      <w:rFonts w:ascii="Arial" w:eastAsia="宋体"/>
      <w:vanish/>
      <w:sz w:val="16"/>
    </w:rPr>
  </w:style>
  <w:style w:type="paragraph" w:styleId="195">
    <w:name w:val=""/>
    <w:basedOn w:val="1"/>
    <w:next w:val="1"/>
    <w:uiPriority w:val="0"/>
    <w:pPr>
      <w:pBdr>
        <w:top w:val="single" w:color="auto" w:sz="6" w:space="1"/>
      </w:pBdr>
      <w:jc w:val="center"/>
    </w:pPr>
    <w:rPr>
      <w:rFonts w:ascii="Arial" w:eastAsia="宋体"/>
      <w:vanish/>
      <w:sz w:val="16"/>
    </w:rPr>
  </w:style>
  <w:style w:type="character" w:customStyle="1" w:styleId="196">
    <w:name w:val="gray"/>
    <w:basedOn w:val="7"/>
    <w:uiPriority w:val="0"/>
    <w:rPr>
      <w:color w:val="666666"/>
    </w:rPr>
  </w:style>
  <w:style w:type="character" w:customStyle="1" w:styleId="197">
    <w:name w:val="text"/>
    <w:basedOn w:val="7"/>
    <w:uiPriority w:val="0"/>
    <w:rPr>
      <w:b/>
      <w:color w:val="000000"/>
      <w:sz w:val="21"/>
      <w:szCs w:val="21"/>
    </w:rPr>
  </w:style>
  <w:style w:type="character" w:customStyle="1" w:styleId="198">
    <w:name w:val="text1"/>
    <w:basedOn w:val="7"/>
    <w:uiPriority w:val="0"/>
    <w:rPr>
      <w:b/>
      <w:color w:val="000000"/>
      <w:sz w:val="21"/>
      <w:szCs w:val="21"/>
    </w:rPr>
  </w:style>
  <w:style w:type="character" w:customStyle="1" w:styleId="199">
    <w:name w:val="on4"/>
    <w:basedOn w:val="7"/>
    <w:uiPriority w:val="0"/>
    <w:rPr>
      <w:color w:val="FFFFFF"/>
      <w:shd w:val="clear" w:fill="FF9936"/>
    </w:rPr>
  </w:style>
  <w:style w:type="character" w:customStyle="1" w:styleId="200">
    <w:name w:val="on1"/>
    <w:basedOn w:val="7"/>
    <w:uiPriority w:val="0"/>
    <w:rPr>
      <w:color w:val="FFFFFF"/>
      <w:shd w:val="clear" w:fill="FF99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2016-08-10T08:31:32Z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