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jc w:val="center"/>
        <w:rPr>
          <w:rFonts w:hint="eastAsia"/>
          <w:b/>
          <w:bCs/>
          <w:lang w:val="en-US" w:eastAsia="zh-CN"/>
        </w:rPr>
      </w:pPr>
      <w:bookmarkStart w:id="0" w:name="_GoBack"/>
      <w:r>
        <w:rPr>
          <w:rFonts w:hint="eastAsia"/>
          <w:b/>
          <w:bCs/>
          <w:lang w:val="en-US" w:eastAsia="zh-CN"/>
        </w:rPr>
        <w:t>蚌埠市特许经营权出让管理办法</w:t>
      </w:r>
    </w:p>
    <w:bookmarkEnd w:id="0"/>
    <w:p>
      <w:pPr>
        <w:rPr>
          <w:rFonts w:hint="eastAsia"/>
          <w:lang w:val="en-US" w:eastAsia="zh-CN"/>
        </w:rPr>
      </w:pPr>
      <w:r>
        <w:rPr>
          <w:rFonts w:hint="eastAsia"/>
          <w:lang w:val="en-US" w:eastAsia="zh-CN"/>
        </w:rPr>
        <w:t xml:space="preserve">第一条 为充分运用市场竞争机制配置公共资源，营造公开、公平、公正的市场环境，保障社会公共利益、公共安全和特许经营者的合法权益，根据《中华人民共和国行政许可法》等法律法规，结合蚌埠市实际，制定本办法。 </w:t>
      </w:r>
    </w:p>
    <w:p>
      <w:pPr>
        <w:rPr>
          <w:rFonts w:hint="eastAsia"/>
          <w:lang w:val="en-US" w:eastAsia="zh-CN"/>
        </w:rPr>
      </w:pPr>
      <w:r>
        <w:rPr>
          <w:rFonts w:hint="eastAsia"/>
          <w:lang w:val="en-US" w:eastAsia="zh-CN"/>
        </w:rPr>
        <w:t xml:space="preserve">第二条 本办法所称政府特许经营权（以下简称特许经营权），是指经特定程序而获得的对有限自然资源开发利用、公共资源配置以及直接关系公共利益的特定行业的市场准入权。 </w:t>
      </w:r>
    </w:p>
    <w:p>
      <w:pPr>
        <w:rPr>
          <w:rFonts w:hint="eastAsia"/>
          <w:lang w:val="en-US" w:eastAsia="zh-CN"/>
        </w:rPr>
      </w:pPr>
      <w:r>
        <w:rPr>
          <w:rFonts w:hint="eastAsia"/>
          <w:lang w:val="en-US" w:eastAsia="zh-CN"/>
        </w:rPr>
        <w:t xml:space="preserve">本办法所称特许经营权出让，是指政府将特许经营权在一定期限内授予经营者的行为。 </w:t>
      </w:r>
    </w:p>
    <w:p>
      <w:pPr>
        <w:rPr>
          <w:rFonts w:hint="eastAsia"/>
          <w:lang w:val="en-US" w:eastAsia="zh-CN"/>
        </w:rPr>
      </w:pPr>
      <w:r>
        <w:rPr>
          <w:rFonts w:hint="eastAsia"/>
          <w:lang w:val="en-US" w:eastAsia="zh-CN"/>
        </w:rPr>
        <w:t xml:space="preserve">第三条 本市行政区域内特许经营权的出让、经营和管理，适用本办法。 </w:t>
      </w:r>
    </w:p>
    <w:p>
      <w:pPr>
        <w:rPr>
          <w:rFonts w:hint="eastAsia"/>
          <w:lang w:val="en-US" w:eastAsia="zh-CN"/>
        </w:rPr>
      </w:pPr>
      <w:r>
        <w:rPr>
          <w:rFonts w:hint="eastAsia"/>
          <w:lang w:val="en-US" w:eastAsia="zh-CN"/>
        </w:rPr>
        <w:t xml:space="preserve">下列直接关系公共利益、涉及公共资源配置和有限自然资源开发利用的项目，可以实施特许经营： </w:t>
      </w:r>
    </w:p>
    <w:p>
      <w:pPr>
        <w:rPr>
          <w:rFonts w:hint="eastAsia"/>
          <w:lang w:val="en-US" w:eastAsia="zh-CN"/>
        </w:rPr>
      </w:pPr>
      <w:r>
        <w:rPr>
          <w:rFonts w:hint="eastAsia"/>
          <w:lang w:val="en-US" w:eastAsia="zh-CN"/>
        </w:rPr>
        <w:t xml:space="preserve">（一）城市供水、供气、供热； </w:t>
      </w:r>
    </w:p>
    <w:p>
      <w:pPr>
        <w:rPr>
          <w:rFonts w:hint="eastAsia"/>
          <w:lang w:val="en-US" w:eastAsia="zh-CN"/>
        </w:rPr>
      </w:pPr>
      <w:r>
        <w:rPr>
          <w:rFonts w:hint="eastAsia"/>
          <w:lang w:val="en-US" w:eastAsia="zh-CN"/>
        </w:rPr>
        <w:t xml:space="preserve">（二）污水处理、垃圾处理； </w:t>
      </w:r>
    </w:p>
    <w:p>
      <w:pPr>
        <w:rPr>
          <w:rFonts w:hint="eastAsia"/>
          <w:lang w:val="en-US" w:eastAsia="zh-CN"/>
        </w:rPr>
      </w:pPr>
      <w:r>
        <w:rPr>
          <w:rFonts w:hint="eastAsia"/>
          <w:lang w:val="en-US" w:eastAsia="zh-CN"/>
        </w:rPr>
        <w:t xml:space="preserve">（三）城市轨道交通和其他公共交通； </w:t>
      </w:r>
    </w:p>
    <w:p>
      <w:pPr>
        <w:rPr>
          <w:rFonts w:hint="eastAsia"/>
          <w:lang w:val="en-US" w:eastAsia="zh-CN"/>
        </w:rPr>
      </w:pPr>
      <w:r>
        <w:rPr>
          <w:rFonts w:hint="eastAsia"/>
          <w:lang w:val="en-US" w:eastAsia="zh-CN"/>
        </w:rPr>
        <w:t xml:space="preserve">（四）法律、法规、规章规定的其他项目。 </w:t>
      </w:r>
    </w:p>
    <w:p>
      <w:pPr>
        <w:rPr>
          <w:rFonts w:hint="eastAsia"/>
          <w:lang w:val="en-US" w:eastAsia="zh-CN"/>
        </w:rPr>
      </w:pPr>
      <w:r>
        <w:rPr>
          <w:rFonts w:hint="eastAsia"/>
          <w:lang w:val="en-US" w:eastAsia="zh-CN"/>
        </w:rPr>
        <w:t xml:space="preserve">第四条 本市行政区域内特许经营权实行全市统筹和市与县两级人民政府分级管理的原则。特许经营权的授予主体是市或县人民政府。 </w:t>
      </w:r>
    </w:p>
    <w:p>
      <w:pPr>
        <w:rPr>
          <w:rFonts w:hint="eastAsia"/>
          <w:lang w:val="en-US" w:eastAsia="zh-CN"/>
        </w:rPr>
      </w:pPr>
      <w:r>
        <w:rPr>
          <w:rFonts w:hint="eastAsia"/>
          <w:lang w:val="en-US" w:eastAsia="zh-CN"/>
        </w:rPr>
        <w:t xml:space="preserve">第五条 市人民政府设立特许经营权管理委员会（以下简称市特许委），负责特许经营权出让的决策和管理，代表市人民政府审批行业主管部门上报的特许经营权出让方案（以下简称出让方案）和《特许经营权出让合同》（以下简称《特许经营合同》）。　 </w:t>
      </w:r>
    </w:p>
    <w:p>
      <w:pPr>
        <w:rPr>
          <w:rFonts w:hint="eastAsia"/>
          <w:lang w:val="en-US" w:eastAsia="zh-CN"/>
        </w:rPr>
      </w:pPr>
      <w:r>
        <w:rPr>
          <w:rFonts w:hint="eastAsia"/>
          <w:lang w:val="en-US" w:eastAsia="zh-CN"/>
        </w:rPr>
        <w:t xml:space="preserve">市特许委办公室（以下简称市特许办）设在市发改委，主要负责： </w:t>
      </w:r>
    </w:p>
    <w:p>
      <w:pPr>
        <w:rPr>
          <w:rFonts w:hint="eastAsia"/>
          <w:lang w:val="en-US" w:eastAsia="zh-CN"/>
        </w:rPr>
      </w:pPr>
      <w:r>
        <w:rPr>
          <w:rFonts w:hint="eastAsia"/>
          <w:lang w:val="en-US" w:eastAsia="zh-CN"/>
        </w:rPr>
        <w:t xml:space="preserve">（一）拟订全市特许经营权的政策，编制全市特许经营权年度出让计划； </w:t>
      </w:r>
    </w:p>
    <w:p>
      <w:pPr>
        <w:rPr>
          <w:rFonts w:hint="eastAsia"/>
          <w:lang w:val="en-US" w:eastAsia="zh-CN"/>
        </w:rPr>
      </w:pPr>
      <w:r>
        <w:rPr>
          <w:rFonts w:hint="eastAsia"/>
          <w:lang w:val="en-US" w:eastAsia="zh-CN"/>
        </w:rPr>
        <w:t xml:space="preserve">（二）组织对涉及全市经济社会发展全局和重大民生事项的特许经营权出让项目进行听证； </w:t>
      </w:r>
    </w:p>
    <w:p>
      <w:pPr>
        <w:rPr>
          <w:rFonts w:hint="eastAsia"/>
          <w:lang w:val="en-US" w:eastAsia="zh-CN"/>
        </w:rPr>
      </w:pPr>
      <w:r>
        <w:rPr>
          <w:rFonts w:hint="eastAsia"/>
          <w:lang w:val="en-US" w:eastAsia="zh-CN"/>
        </w:rPr>
        <w:t xml:space="preserve">（三）组织相关部门和专家对行业主管部门提交的出让方案进行评审； </w:t>
      </w:r>
    </w:p>
    <w:p>
      <w:pPr>
        <w:rPr>
          <w:rFonts w:hint="eastAsia"/>
          <w:lang w:val="en-US" w:eastAsia="zh-CN"/>
        </w:rPr>
      </w:pPr>
      <w:r>
        <w:rPr>
          <w:rFonts w:hint="eastAsia"/>
          <w:lang w:val="en-US" w:eastAsia="zh-CN"/>
        </w:rPr>
        <w:t xml:space="preserve">（四）处理市特许委的日常工作，检查《特许经营合同》的履约情况，向市人民政府提交年度特许经营监督检查报告。 </w:t>
      </w:r>
    </w:p>
    <w:p>
      <w:pPr>
        <w:rPr>
          <w:rFonts w:hint="eastAsia"/>
          <w:lang w:val="en-US" w:eastAsia="zh-CN"/>
        </w:rPr>
      </w:pPr>
      <w:r>
        <w:rPr>
          <w:rFonts w:hint="eastAsia"/>
          <w:lang w:val="en-US" w:eastAsia="zh-CN"/>
        </w:rPr>
        <w:t xml:space="preserve">第六条 市发改、住建、交通、水利、环保、城市管理、旅游、民政、公安、林业等有关行业的主管部门（以下简称行业主管部门）依据市人民政府的授权，负责事权范围内特许经营权的具体工作：　 </w:t>
      </w:r>
    </w:p>
    <w:p>
      <w:pPr>
        <w:rPr>
          <w:rFonts w:hint="eastAsia"/>
          <w:lang w:val="en-US" w:eastAsia="zh-CN"/>
        </w:rPr>
      </w:pPr>
      <w:r>
        <w:rPr>
          <w:rFonts w:hint="eastAsia"/>
          <w:lang w:val="en-US" w:eastAsia="zh-CN"/>
        </w:rPr>
        <w:t xml:space="preserve">（一）编制事权范围内特许经营项目的年度出让计划； </w:t>
      </w:r>
    </w:p>
    <w:p>
      <w:pPr>
        <w:rPr>
          <w:rFonts w:hint="eastAsia"/>
          <w:lang w:val="en-US" w:eastAsia="zh-CN"/>
        </w:rPr>
      </w:pPr>
      <w:r>
        <w:rPr>
          <w:rFonts w:hint="eastAsia"/>
          <w:lang w:val="en-US" w:eastAsia="zh-CN"/>
        </w:rPr>
        <w:t xml:space="preserve">（二）依照程序组织实施事权范围内的特许经营权出让工作，并保存特许经营项目档案； </w:t>
      </w:r>
    </w:p>
    <w:p>
      <w:pPr>
        <w:rPr>
          <w:rFonts w:hint="eastAsia"/>
          <w:lang w:val="en-US" w:eastAsia="zh-CN"/>
        </w:rPr>
      </w:pPr>
      <w:r>
        <w:rPr>
          <w:rFonts w:hint="eastAsia"/>
          <w:lang w:val="en-US" w:eastAsia="zh-CN"/>
        </w:rPr>
        <w:t xml:space="preserve">（三）建立特许经营项目评估制度，制定公共产品和服务质量评价标准； </w:t>
      </w:r>
    </w:p>
    <w:p>
      <w:pPr>
        <w:rPr>
          <w:rFonts w:hint="eastAsia"/>
          <w:lang w:val="en-US" w:eastAsia="zh-CN"/>
        </w:rPr>
      </w:pPr>
      <w:r>
        <w:rPr>
          <w:rFonts w:hint="eastAsia"/>
          <w:lang w:val="en-US" w:eastAsia="zh-CN"/>
        </w:rPr>
        <w:t xml:space="preserve">（四）监督特许经营者履行法定义务和《特许经营合同》约定的义务； </w:t>
      </w:r>
    </w:p>
    <w:p>
      <w:pPr>
        <w:rPr>
          <w:rFonts w:hint="eastAsia"/>
          <w:lang w:val="en-US" w:eastAsia="zh-CN"/>
        </w:rPr>
      </w:pPr>
      <w:r>
        <w:rPr>
          <w:rFonts w:hint="eastAsia"/>
          <w:lang w:val="en-US" w:eastAsia="zh-CN"/>
        </w:rPr>
        <w:t xml:space="preserve">（五）监督特许经营者的经营计划实施情况、公共产品和服务的质量以及安全生产情况； </w:t>
      </w:r>
    </w:p>
    <w:p>
      <w:pPr>
        <w:rPr>
          <w:rFonts w:hint="eastAsia"/>
          <w:lang w:val="en-US" w:eastAsia="zh-CN"/>
        </w:rPr>
      </w:pPr>
      <w:r>
        <w:rPr>
          <w:rFonts w:hint="eastAsia"/>
          <w:lang w:val="en-US" w:eastAsia="zh-CN"/>
        </w:rPr>
        <w:t xml:space="preserve">（六）建立公众参与机制，受理公众对特许经营者的投诉，依法及时查处违法行为； </w:t>
      </w:r>
    </w:p>
    <w:p>
      <w:pPr>
        <w:rPr>
          <w:rFonts w:hint="eastAsia"/>
          <w:lang w:val="en-US" w:eastAsia="zh-CN"/>
        </w:rPr>
      </w:pPr>
      <w:r>
        <w:rPr>
          <w:rFonts w:hint="eastAsia"/>
          <w:lang w:val="en-US" w:eastAsia="zh-CN"/>
        </w:rPr>
        <w:t xml:space="preserve">（七）制定临时接管应急预案，在危及或者可能危及公共利益、公共安全等紧急状态下，临时接管特许经营项目； </w:t>
      </w:r>
    </w:p>
    <w:p>
      <w:pPr>
        <w:rPr>
          <w:rFonts w:hint="eastAsia"/>
          <w:lang w:val="en-US" w:eastAsia="zh-CN"/>
        </w:rPr>
      </w:pPr>
      <w:r>
        <w:rPr>
          <w:rFonts w:hint="eastAsia"/>
          <w:lang w:val="en-US" w:eastAsia="zh-CN"/>
        </w:rPr>
        <w:t xml:space="preserve">（八）协助相关部门核算特许经营者的成本，提出价格调整意见； </w:t>
      </w:r>
    </w:p>
    <w:p>
      <w:pPr>
        <w:rPr>
          <w:rFonts w:hint="eastAsia"/>
          <w:lang w:val="en-US" w:eastAsia="zh-CN"/>
        </w:rPr>
      </w:pPr>
      <w:r>
        <w:rPr>
          <w:rFonts w:hint="eastAsia"/>
          <w:lang w:val="en-US" w:eastAsia="zh-CN"/>
        </w:rPr>
        <w:t xml:space="preserve">（九）保守特许经营权管理工作中知悉的商业秘密和技术秘密。 </w:t>
      </w:r>
    </w:p>
    <w:p>
      <w:pPr>
        <w:rPr>
          <w:rFonts w:hint="eastAsia"/>
          <w:lang w:val="en-US" w:eastAsia="zh-CN"/>
        </w:rPr>
      </w:pPr>
      <w:r>
        <w:rPr>
          <w:rFonts w:hint="eastAsia"/>
          <w:lang w:val="en-US" w:eastAsia="zh-CN"/>
        </w:rPr>
        <w:t>市财政局（国资委）、物价局、工商局、审计局、监察局等有关部门按照各自职责，对特许经营活动进行监督管理。</w:t>
      </w:r>
    </w:p>
    <w:p>
      <w:pPr>
        <w:rPr>
          <w:rFonts w:hint="eastAsia"/>
          <w:lang w:val="en-US" w:eastAsia="zh-CN"/>
        </w:rPr>
      </w:pPr>
      <w:r>
        <w:rPr>
          <w:rFonts w:hint="eastAsia"/>
          <w:lang w:val="en-US" w:eastAsia="zh-CN"/>
        </w:rPr>
        <w:t xml:space="preserve">市招标局协调指导全市特许经营权出让实施工作，依法监督出让程序和出让过程，依法审查备案出让文件和出让合同（协议）。 </w:t>
      </w:r>
    </w:p>
    <w:p>
      <w:pPr>
        <w:rPr>
          <w:rFonts w:hint="eastAsia"/>
          <w:lang w:val="en-US" w:eastAsia="zh-CN"/>
        </w:rPr>
      </w:pPr>
      <w:r>
        <w:rPr>
          <w:rFonts w:hint="eastAsia"/>
          <w:lang w:val="en-US" w:eastAsia="zh-CN"/>
        </w:rPr>
        <w:t xml:space="preserve">第七条 特许经营可以采取下列形式： </w:t>
      </w:r>
    </w:p>
    <w:p>
      <w:pPr>
        <w:rPr>
          <w:rFonts w:hint="eastAsia"/>
          <w:lang w:val="en-US" w:eastAsia="zh-CN"/>
        </w:rPr>
      </w:pPr>
      <w:r>
        <w:rPr>
          <w:rFonts w:hint="eastAsia"/>
          <w:lang w:val="en-US" w:eastAsia="zh-CN"/>
        </w:rPr>
        <w:t xml:space="preserve">（一）在一定期限内，将项目的投资建设和经营权授予法人或者其他组织，期满后无偿移交给授予其特许经营权的人民政府； </w:t>
      </w:r>
    </w:p>
    <w:p>
      <w:pPr>
        <w:rPr>
          <w:rFonts w:hint="eastAsia"/>
          <w:lang w:val="en-US" w:eastAsia="zh-CN"/>
        </w:rPr>
      </w:pPr>
      <w:r>
        <w:rPr>
          <w:rFonts w:hint="eastAsia"/>
          <w:lang w:val="en-US" w:eastAsia="zh-CN"/>
        </w:rPr>
        <w:t xml:space="preserve">（二）在一定期限内，将已建成项目的经营权授予法人或者其他组织，期满后无偿移交给授予其特许经营权的人民政府； </w:t>
      </w:r>
    </w:p>
    <w:p>
      <w:pPr>
        <w:rPr>
          <w:rFonts w:hint="eastAsia"/>
          <w:lang w:val="en-US" w:eastAsia="zh-CN"/>
        </w:rPr>
      </w:pPr>
      <w:r>
        <w:rPr>
          <w:rFonts w:hint="eastAsia"/>
          <w:lang w:val="en-US" w:eastAsia="zh-CN"/>
        </w:rPr>
        <w:t xml:space="preserve">（三）在一定期限内，委托公民、法人或者其他组织提供公共产品和服务。 </w:t>
      </w:r>
    </w:p>
    <w:p>
      <w:pPr>
        <w:rPr>
          <w:rFonts w:hint="eastAsia"/>
          <w:lang w:val="en-US" w:eastAsia="zh-CN"/>
        </w:rPr>
      </w:pPr>
      <w:r>
        <w:rPr>
          <w:rFonts w:hint="eastAsia"/>
          <w:lang w:val="en-US" w:eastAsia="zh-CN"/>
        </w:rPr>
        <w:t xml:space="preserve">前款第（一）、（二）项的经营期限最长不超过30年；第（三）项的经营期限最长不超过8年；法律、法规、规章另有规定的，从其规定。 </w:t>
      </w:r>
    </w:p>
    <w:p>
      <w:pPr>
        <w:rPr>
          <w:rFonts w:hint="eastAsia"/>
          <w:lang w:val="en-US" w:eastAsia="zh-CN"/>
        </w:rPr>
      </w:pPr>
      <w:r>
        <w:rPr>
          <w:rFonts w:hint="eastAsia"/>
          <w:lang w:val="en-US" w:eastAsia="zh-CN"/>
        </w:rPr>
        <w:t xml:space="preserve">第八条 特许经营期限届满，除法律、法规、规章另有规定外，行业主管部门应当按照本办法规定的程序组织招标、拍卖或网络竞价，重新确定特许经营者。特许经营者的重新确定应当于特许经营期限届满6个月前完成。　 </w:t>
      </w:r>
    </w:p>
    <w:p>
      <w:pPr>
        <w:rPr>
          <w:rFonts w:hint="eastAsia"/>
          <w:lang w:val="en-US" w:eastAsia="zh-CN"/>
        </w:rPr>
      </w:pPr>
      <w:r>
        <w:rPr>
          <w:rFonts w:hint="eastAsia"/>
          <w:lang w:val="en-US" w:eastAsia="zh-CN"/>
        </w:rPr>
        <w:t xml:space="preserve">原特许经营者在特许经营期内提供了符合《特许经营合同》约定或者法律法规、国家标准、行业标准规定的公共产品和服务的，在同等条件下享有优先受让权。 </w:t>
      </w:r>
    </w:p>
    <w:p>
      <w:pPr>
        <w:rPr>
          <w:rFonts w:hint="eastAsia"/>
          <w:lang w:val="en-US" w:eastAsia="zh-CN"/>
        </w:rPr>
      </w:pPr>
      <w:r>
        <w:rPr>
          <w:rFonts w:hint="eastAsia"/>
          <w:lang w:val="en-US" w:eastAsia="zh-CN"/>
        </w:rPr>
        <w:t xml:space="preserve">第九条 特许经营权按照下列程序出让：　 </w:t>
      </w:r>
    </w:p>
    <w:p>
      <w:pPr>
        <w:rPr>
          <w:rFonts w:hint="eastAsia"/>
          <w:lang w:val="en-US" w:eastAsia="zh-CN"/>
        </w:rPr>
      </w:pPr>
      <w:r>
        <w:rPr>
          <w:rFonts w:hint="eastAsia"/>
          <w:lang w:val="en-US" w:eastAsia="zh-CN"/>
        </w:rPr>
        <w:t xml:space="preserve">（一）编制年度出让计划：行业主管部门根据市委、市政府有关发展战略和行业发展规划，提出本行业年度特许经营权出让建议计划，经市发改委汇总平衡后编制全市年度特许经营权出让计划，纳入全市年度经济和社会发展计划。 </w:t>
      </w:r>
    </w:p>
    <w:p>
      <w:pPr>
        <w:rPr>
          <w:rFonts w:hint="eastAsia"/>
          <w:lang w:val="en-US" w:eastAsia="zh-CN"/>
        </w:rPr>
      </w:pPr>
      <w:r>
        <w:rPr>
          <w:rFonts w:hint="eastAsia"/>
          <w:lang w:val="en-US" w:eastAsia="zh-CN"/>
        </w:rPr>
        <w:t xml:space="preserve">（二）编制和报审出让方案：行业主管部门按照年度特许经营权出让计划编制出让方案和说明，并将出让方案正式上报市特许办，由市特许办组织相关部门和专家对方案进行论证，经行业主管部门修改完善后报市特许委审批。 </w:t>
      </w:r>
    </w:p>
    <w:p>
      <w:pPr>
        <w:rPr>
          <w:rFonts w:hint="eastAsia"/>
          <w:lang w:val="en-US" w:eastAsia="zh-CN"/>
        </w:rPr>
      </w:pPr>
      <w:r>
        <w:rPr>
          <w:rFonts w:hint="eastAsia"/>
          <w:lang w:val="en-US" w:eastAsia="zh-CN"/>
        </w:rPr>
        <w:t xml:space="preserve">（三）组织听证：对依法需要进行听证的特许经营权出让项目，关系全市经济社会发展全局和重大民生的事项，涉及申请人或者他人重大利益、申请人或者利害关系人申请听证的事项以及市特许办认为应当进行听证的特许经营权出让项目，由市特许办组织听证，同时将听证结果报市特许委，作为审定方案的参考。 </w:t>
      </w:r>
    </w:p>
    <w:p>
      <w:pPr>
        <w:rPr>
          <w:rFonts w:hint="eastAsia"/>
          <w:lang w:val="en-US" w:eastAsia="zh-CN"/>
        </w:rPr>
      </w:pPr>
      <w:r>
        <w:rPr>
          <w:rFonts w:hint="eastAsia"/>
          <w:lang w:val="en-US" w:eastAsia="zh-CN"/>
        </w:rPr>
        <w:t xml:space="preserve">（四）审定和实施出让方案：市特许委通过召开会议、征求意见、会签等方式审定出让方案；行业主管部门根据批准的出让方案和授权，按照本办法组织出让工作。 </w:t>
      </w:r>
    </w:p>
    <w:p>
      <w:pPr>
        <w:rPr>
          <w:rFonts w:hint="eastAsia"/>
          <w:lang w:val="en-US" w:eastAsia="zh-CN"/>
        </w:rPr>
      </w:pPr>
      <w:r>
        <w:rPr>
          <w:rFonts w:hint="eastAsia"/>
          <w:lang w:val="en-US" w:eastAsia="zh-CN"/>
        </w:rPr>
        <w:t xml:space="preserve">（五）选择经营主体：行业主管部门依法在市产权交易中心通过招标、拍卖、网络竞价等方式，公开、公平、公正地选择特许经营权授予对象，并将选择结果向社会公示，接受社会监督。 </w:t>
      </w:r>
    </w:p>
    <w:p>
      <w:pPr>
        <w:rPr>
          <w:rFonts w:hint="eastAsia"/>
          <w:lang w:val="en-US" w:eastAsia="zh-CN"/>
        </w:rPr>
      </w:pPr>
      <w:r>
        <w:rPr>
          <w:rFonts w:hint="eastAsia"/>
          <w:lang w:val="en-US" w:eastAsia="zh-CN"/>
        </w:rPr>
        <w:t xml:space="preserve">（六）签订合同和备案：公示期满无异议，由行业主管部门与特许经营权授予对象签订《特许经营合同》；行业主管部门应当在《特许经营合同》签订后30日内，将合同文本报市招标局审查备案。 </w:t>
      </w:r>
    </w:p>
    <w:p>
      <w:pPr>
        <w:rPr>
          <w:rFonts w:hint="eastAsia"/>
          <w:lang w:val="en-US" w:eastAsia="zh-CN"/>
        </w:rPr>
      </w:pPr>
      <w:r>
        <w:rPr>
          <w:rFonts w:hint="eastAsia"/>
          <w:lang w:val="en-US" w:eastAsia="zh-CN"/>
        </w:rPr>
        <w:t>第十条 特许经营权出让应当通过招标、拍卖、网络竞价等公开竞价方式进行。对市场化条件尚不成熟或者因客观条件限制难以通过招标、拍卖、网络竞价方式进行出让的特许经营项目，行业主管部门应当在出让方案中充分说明理由，经市特许委批准后，可以采用挂牌、竞争性谈判等方式出让。</w:t>
      </w:r>
    </w:p>
    <w:p>
      <w:pPr>
        <w:rPr>
          <w:rFonts w:hint="eastAsia"/>
          <w:lang w:val="en-US" w:eastAsia="zh-CN"/>
        </w:rPr>
      </w:pPr>
      <w:r>
        <w:rPr>
          <w:rFonts w:hint="eastAsia"/>
          <w:lang w:val="en-US" w:eastAsia="zh-CN"/>
        </w:rPr>
        <w:t xml:space="preserve">第十一条 行业主管部门应当根据本办法编制下列特许经营权出让方案，报市特许委批准后组织实施：　 </w:t>
      </w:r>
    </w:p>
    <w:p>
      <w:pPr>
        <w:rPr>
          <w:rFonts w:hint="eastAsia"/>
          <w:lang w:val="en-US" w:eastAsia="zh-CN"/>
        </w:rPr>
      </w:pPr>
      <w:r>
        <w:rPr>
          <w:rFonts w:hint="eastAsia"/>
          <w:lang w:val="en-US" w:eastAsia="zh-CN"/>
        </w:rPr>
        <w:t xml:space="preserve">（一）城市道路（桥梁）建设与经营权，由住建部门编制出让方案； </w:t>
      </w:r>
    </w:p>
    <w:p>
      <w:pPr>
        <w:rPr>
          <w:rFonts w:hint="eastAsia"/>
          <w:lang w:val="en-US" w:eastAsia="zh-CN"/>
        </w:rPr>
      </w:pPr>
      <w:r>
        <w:rPr>
          <w:rFonts w:hint="eastAsia"/>
          <w:lang w:val="en-US" w:eastAsia="zh-CN"/>
        </w:rPr>
        <w:t xml:space="preserve">（二）内河航运经营权、客运出租汽车运营权、公共汽车线路运营权、市域内公路客运线路运营权、公路（桥梁）建设与经营权、城市轨道交通运营权，由交通部门编制出让方案； </w:t>
      </w:r>
    </w:p>
    <w:p>
      <w:pPr>
        <w:rPr>
          <w:rFonts w:hint="eastAsia"/>
          <w:lang w:val="en-US" w:eastAsia="zh-CN"/>
        </w:rPr>
      </w:pPr>
      <w:r>
        <w:rPr>
          <w:rFonts w:hint="eastAsia"/>
          <w:lang w:val="en-US" w:eastAsia="zh-CN"/>
        </w:rPr>
        <w:t xml:space="preserve">（三）管道燃气供应、加气站的经营权，由住建部门编制出让方案； </w:t>
      </w:r>
    </w:p>
    <w:p>
      <w:pPr>
        <w:rPr>
          <w:rFonts w:hint="eastAsia"/>
          <w:lang w:val="en-US" w:eastAsia="zh-CN"/>
        </w:rPr>
      </w:pPr>
      <w:r>
        <w:rPr>
          <w:rFonts w:hint="eastAsia"/>
          <w:lang w:val="en-US" w:eastAsia="zh-CN"/>
        </w:rPr>
        <w:t xml:space="preserve">（四）生活垃圾、餐厨垃圾、粪便（渣）、建筑垃圾和经营性大型户外广告设置权，由城市管理部门编制出让方案； </w:t>
      </w:r>
    </w:p>
    <w:p>
      <w:pPr>
        <w:rPr>
          <w:rFonts w:hint="eastAsia"/>
          <w:lang w:val="en-US" w:eastAsia="zh-CN"/>
        </w:rPr>
      </w:pPr>
      <w:r>
        <w:rPr>
          <w:rFonts w:hint="eastAsia"/>
          <w:lang w:val="en-US" w:eastAsia="zh-CN"/>
        </w:rPr>
        <w:t xml:space="preserve">（五）旅游资源经营权，由旅游管理部门会同市政府有关行政管理部门编制出让方案； </w:t>
      </w:r>
    </w:p>
    <w:p>
      <w:pPr>
        <w:rPr>
          <w:rFonts w:hint="eastAsia"/>
          <w:lang w:val="en-US" w:eastAsia="zh-CN"/>
        </w:rPr>
      </w:pPr>
      <w:r>
        <w:rPr>
          <w:rFonts w:hint="eastAsia"/>
          <w:lang w:val="en-US" w:eastAsia="zh-CN"/>
        </w:rPr>
        <w:t xml:space="preserve">（六）城市公园等公共设施的建设与经营权，由住建部门编制出让方案； </w:t>
      </w:r>
    </w:p>
    <w:p>
      <w:pPr>
        <w:rPr>
          <w:rFonts w:hint="eastAsia"/>
          <w:lang w:val="en-US" w:eastAsia="zh-CN"/>
        </w:rPr>
      </w:pPr>
      <w:r>
        <w:rPr>
          <w:rFonts w:hint="eastAsia"/>
          <w:lang w:val="en-US" w:eastAsia="zh-CN"/>
        </w:rPr>
        <w:t xml:space="preserve">（七）城市道路、桥梁、隧道、休闲广场等公共设施冠名权，由住建部门会同民政部门编制出让方案； </w:t>
      </w:r>
    </w:p>
    <w:p>
      <w:pPr>
        <w:rPr>
          <w:rFonts w:hint="eastAsia"/>
          <w:lang w:val="en-US" w:eastAsia="zh-CN"/>
        </w:rPr>
      </w:pPr>
      <w:r>
        <w:rPr>
          <w:rFonts w:hint="eastAsia"/>
          <w:lang w:val="en-US" w:eastAsia="zh-CN"/>
        </w:rPr>
        <w:t xml:space="preserve">（八）城市自来水生产和供应、污水处理的经营权，由住建部门会同水利部门编制出让方案； </w:t>
      </w:r>
    </w:p>
    <w:p>
      <w:pPr>
        <w:rPr>
          <w:rFonts w:hint="eastAsia"/>
          <w:lang w:val="en-US" w:eastAsia="zh-CN"/>
        </w:rPr>
      </w:pPr>
      <w:r>
        <w:rPr>
          <w:rFonts w:hint="eastAsia"/>
          <w:lang w:val="en-US" w:eastAsia="zh-CN"/>
        </w:rPr>
        <w:t xml:space="preserve">（九）依法需要实行政府特许经营的其他项目，由有关行业主管部门编制出让方案。 </w:t>
      </w:r>
    </w:p>
    <w:p>
      <w:pPr>
        <w:rPr>
          <w:rFonts w:hint="eastAsia"/>
          <w:lang w:val="en-US" w:eastAsia="zh-CN"/>
        </w:rPr>
      </w:pPr>
      <w:r>
        <w:rPr>
          <w:rFonts w:hint="eastAsia"/>
          <w:lang w:val="en-US" w:eastAsia="zh-CN"/>
        </w:rPr>
        <w:t xml:space="preserve">第十二条 特许经营权出让方案应当包括但不限于下列内容： </w:t>
      </w:r>
    </w:p>
    <w:p>
      <w:pPr>
        <w:rPr>
          <w:rFonts w:hint="eastAsia"/>
          <w:lang w:val="en-US" w:eastAsia="zh-CN"/>
        </w:rPr>
      </w:pPr>
      <w:r>
        <w:rPr>
          <w:rFonts w:hint="eastAsia"/>
          <w:lang w:val="en-US" w:eastAsia="zh-CN"/>
        </w:rPr>
        <w:t xml:space="preserve">（一）特许经营项目的名称、具体内容、期限和范围； </w:t>
      </w:r>
    </w:p>
    <w:p>
      <w:pPr>
        <w:rPr>
          <w:rFonts w:hint="eastAsia"/>
          <w:lang w:val="en-US" w:eastAsia="zh-CN"/>
        </w:rPr>
      </w:pPr>
      <w:r>
        <w:rPr>
          <w:rFonts w:hint="eastAsia"/>
          <w:lang w:val="en-US" w:eastAsia="zh-CN"/>
        </w:rPr>
        <w:t xml:space="preserve">（二）特许经营权出让方案的具体组织实施机构； </w:t>
      </w:r>
    </w:p>
    <w:p>
      <w:pPr>
        <w:rPr>
          <w:rFonts w:hint="eastAsia"/>
          <w:lang w:val="en-US" w:eastAsia="zh-CN"/>
        </w:rPr>
      </w:pPr>
      <w:r>
        <w:rPr>
          <w:rFonts w:hint="eastAsia"/>
          <w:lang w:val="en-US" w:eastAsia="zh-CN"/>
        </w:rPr>
        <w:t xml:space="preserve">（三）特许经营权的经营形式、出让方式以及投标人或者竞买人的资格要求和选择方式； </w:t>
      </w:r>
    </w:p>
    <w:p>
      <w:pPr>
        <w:rPr>
          <w:rFonts w:hint="eastAsia"/>
          <w:lang w:val="en-US" w:eastAsia="zh-CN"/>
        </w:rPr>
      </w:pPr>
      <w:r>
        <w:rPr>
          <w:rFonts w:hint="eastAsia"/>
          <w:lang w:val="en-US" w:eastAsia="zh-CN"/>
        </w:rPr>
        <w:t xml:space="preserve">（四）特许经营项目的基本经济技术指标以及公共产品和服务的数量、质量和标准； </w:t>
      </w:r>
    </w:p>
    <w:p>
      <w:pPr>
        <w:rPr>
          <w:rFonts w:hint="eastAsia"/>
          <w:lang w:val="en-US" w:eastAsia="zh-CN"/>
        </w:rPr>
      </w:pPr>
      <w:r>
        <w:rPr>
          <w:rFonts w:hint="eastAsia"/>
          <w:lang w:val="en-US" w:eastAsia="zh-CN"/>
        </w:rPr>
        <w:t xml:space="preserve">（五）特许经营合同（需要通过招标、拍卖等方式在出让过程中才能确定的内容除外）； </w:t>
      </w:r>
    </w:p>
    <w:p>
      <w:pPr>
        <w:rPr>
          <w:rFonts w:hint="eastAsia"/>
          <w:lang w:val="en-US" w:eastAsia="zh-CN"/>
        </w:rPr>
      </w:pPr>
      <w:r>
        <w:rPr>
          <w:rFonts w:hint="eastAsia"/>
          <w:lang w:val="en-US" w:eastAsia="zh-CN"/>
        </w:rPr>
        <w:t xml:space="preserve">（六）特许经营权是否允许转让以及特许经营期限的延长或者终止； </w:t>
      </w:r>
    </w:p>
    <w:p>
      <w:pPr>
        <w:rPr>
          <w:rFonts w:hint="eastAsia"/>
          <w:lang w:val="en-US" w:eastAsia="zh-CN"/>
        </w:rPr>
      </w:pPr>
      <w:r>
        <w:rPr>
          <w:rFonts w:hint="eastAsia"/>
          <w:lang w:val="en-US" w:eastAsia="zh-CN"/>
        </w:rPr>
        <w:t xml:space="preserve">（七）特许经营价格的控制、调整和享受的优惠政策； </w:t>
      </w:r>
    </w:p>
    <w:p>
      <w:pPr>
        <w:rPr>
          <w:rFonts w:hint="eastAsia"/>
          <w:lang w:val="en-US" w:eastAsia="zh-CN"/>
        </w:rPr>
      </w:pPr>
      <w:r>
        <w:rPr>
          <w:rFonts w:hint="eastAsia"/>
          <w:lang w:val="en-US" w:eastAsia="zh-CN"/>
        </w:rPr>
        <w:t xml:space="preserve">（八）政府的监督职责； </w:t>
      </w:r>
    </w:p>
    <w:p>
      <w:pPr>
        <w:rPr>
          <w:rFonts w:hint="eastAsia"/>
          <w:lang w:val="en-US" w:eastAsia="zh-CN"/>
        </w:rPr>
      </w:pPr>
      <w:r>
        <w:rPr>
          <w:rFonts w:hint="eastAsia"/>
          <w:lang w:val="en-US" w:eastAsia="zh-CN"/>
        </w:rPr>
        <w:t xml:space="preserve">（九）临时接管应急预案； </w:t>
      </w:r>
    </w:p>
    <w:p>
      <w:pPr>
        <w:rPr>
          <w:rFonts w:hint="eastAsia"/>
          <w:lang w:val="en-US" w:eastAsia="zh-CN"/>
        </w:rPr>
      </w:pPr>
      <w:r>
        <w:rPr>
          <w:rFonts w:hint="eastAsia"/>
          <w:lang w:val="en-US" w:eastAsia="zh-CN"/>
        </w:rPr>
        <w:t xml:space="preserve">（十）其他应当明确的事项。 </w:t>
      </w:r>
    </w:p>
    <w:p>
      <w:pPr>
        <w:rPr>
          <w:rFonts w:hint="eastAsia"/>
          <w:lang w:val="en-US" w:eastAsia="zh-CN"/>
        </w:rPr>
      </w:pPr>
      <w:r>
        <w:rPr>
          <w:rFonts w:hint="eastAsia"/>
          <w:lang w:val="en-US" w:eastAsia="zh-CN"/>
        </w:rPr>
        <w:t xml:space="preserve">第十三条 行业主管部门应当自出让方案被批准之日起20日内，将特许经营权出让信息通过“蚌埠公共资源交易网”向社会公开发布。 </w:t>
      </w:r>
    </w:p>
    <w:p>
      <w:pPr>
        <w:rPr>
          <w:rFonts w:hint="eastAsia"/>
          <w:lang w:val="en-US" w:eastAsia="zh-CN"/>
        </w:rPr>
      </w:pPr>
      <w:r>
        <w:rPr>
          <w:rFonts w:hint="eastAsia"/>
          <w:lang w:val="en-US" w:eastAsia="zh-CN"/>
        </w:rPr>
        <w:t xml:space="preserve">第十四条 经营本办法第三条规定的项目，应当依法取得特许经营权。符合特许经营权出让方案规定条件的公民、法人或者其他组织，均可按出让方案规定的程序申请特许经营权。 </w:t>
      </w:r>
    </w:p>
    <w:p>
      <w:pPr>
        <w:rPr>
          <w:rFonts w:hint="eastAsia"/>
          <w:lang w:val="en-US" w:eastAsia="zh-CN"/>
        </w:rPr>
      </w:pPr>
      <w:r>
        <w:rPr>
          <w:rFonts w:hint="eastAsia"/>
          <w:lang w:val="en-US" w:eastAsia="zh-CN"/>
        </w:rPr>
        <w:t xml:space="preserve">现有国有企业或者国有控股企业经营的项目，属于特许经营权管理范围的，由国有资产监督管理部门组织具备资质的评估机构，依法进行国有资产评估和登记后，按照本办法规定的程序申请特许经营权。 </w:t>
      </w:r>
    </w:p>
    <w:p>
      <w:pPr>
        <w:rPr>
          <w:rFonts w:hint="eastAsia"/>
          <w:lang w:val="en-US" w:eastAsia="zh-CN"/>
        </w:rPr>
      </w:pPr>
      <w:r>
        <w:rPr>
          <w:rFonts w:hint="eastAsia"/>
          <w:lang w:val="en-US" w:eastAsia="zh-CN"/>
        </w:rPr>
        <w:t xml:space="preserve">本办法施行前已合法取得特许经营权而未完善相关手续的项目，由行业主管部门报市特许委批准后完善相关手续。 </w:t>
      </w:r>
    </w:p>
    <w:p>
      <w:pPr>
        <w:rPr>
          <w:rFonts w:hint="eastAsia"/>
          <w:lang w:val="en-US" w:eastAsia="zh-CN"/>
        </w:rPr>
      </w:pPr>
      <w:r>
        <w:rPr>
          <w:rFonts w:hint="eastAsia"/>
          <w:lang w:val="en-US" w:eastAsia="zh-CN"/>
        </w:rPr>
        <w:t xml:space="preserve">第十五条 行业主管部门应当将招标、拍卖、网络竞价等公开竞价的情况和特许经营权授予对象向社会公示，公示期不得少于3个工作日。　 </w:t>
      </w:r>
    </w:p>
    <w:p>
      <w:pPr>
        <w:rPr>
          <w:rFonts w:hint="eastAsia"/>
          <w:lang w:val="en-US" w:eastAsia="zh-CN"/>
        </w:rPr>
      </w:pPr>
      <w:r>
        <w:rPr>
          <w:rFonts w:hint="eastAsia"/>
          <w:lang w:val="en-US" w:eastAsia="zh-CN"/>
        </w:rPr>
        <w:t xml:space="preserve">公示期满，对特许经营权授予对象没有异议的，经市特许委批准，由行业主管部门向特许经营权授予对象颁发行政许可证件。 </w:t>
      </w:r>
    </w:p>
    <w:p>
      <w:pPr>
        <w:rPr>
          <w:rFonts w:hint="eastAsia"/>
          <w:lang w:val="en-US" w:eastAsia="zh-CN"/>
        </w:rPr>
      </w:pPr>
      <w:r>
        <w:rPr>
          <w:rFonts w:hint="eastAsia"/>
          <w:lang w:val="en-US" w:eastAsia="zh-CN"/>
        </w:rPr>
        <w:t xml:space="preserve">第十六条 行业主管部门应当自公示期满之日起30日内与特许经营权授予对象签订《特许经营合同》。 </w:t>
      </w:r>
    </w:p>
    <w:p>
      <w:pPr>
        <w:rPr>
          <w:rFonts w:hint="eastAsia"/>
          <w:lang w:val="en-US" w:eastAsia="zh-CN"/>
        </w:rPr>
      </w:pPr>
      <w:r>
        <w:rPr>
          <w:rFonts w:hint="eastAsia"/>
          <w:lang w:val="en-US" w:eastAsia="zh-CN"/>
        </w:rPr>
        <w:t xml:space="preserve">根据招标文件、拍卖公告等需要成立项目公司的，中标人或者买受人应当在规定的期限内依法注册成立项目公司，并由行业主管部门与项目公司签订《特许经营合同》。 </w:t>
      </w:r>
    </w:p>
    <w:p>
      <w:pPr>
        <w:rPr>
          <w:rFonts w:hint="eastAsia"/>
          <w:lang w:val="en-US" w:eastAsia="zh-CN"/>
        </w:rPr>
      </w:pPr>
      <w:r>
        <w:rPr>
          <w:rFonts w:hint="eastAsia"/>
          <w:lang w:val="en-US" w:eastAsia="zh-CN"/>
        </w:rPr>
        <w:t xml:space="preserve">第十七条 《特许经营合同》应当与出让方案的主要内容一致，包括但不限于下列具体内容： </w:t>
      </w:r>
    </w:p>
    <w:p>
      <w:pPr>
        <w:rPr>
          <w:rFonts w:hint="eastAsia"/>
          <w:lang w:val="en-US" w:eastAsia="zh-CN"/>
        </w:rPr>
      </w:pPr>
      <w:r>
        <w:rPr>
          <w:rFonts w:hint="eastAsia"/>
          <w:lang w:val="en-US" w:eastAsia="zh-CN"/>
        </w:rPr>
        <w:t xml:space="preserve">（一）特许经营项目的名称和内容； </w:t>
      </w:r>
    </w:p>
    <w:p>
      <w:pPr>
        <w:rPr>
          <w:rFonts w:hint="eastAsia"/>
          <w:lang w:val="en-US" w:eastAsia="zh-CN"/>
        </w:rPr>
      </w:pPr>
      <w:r>
        <w:rPr>
          <w:rFonts w:hint="eastAsia"/>
          <w:lang w:val="en-US" w:eastAsia="zh-CN"/>
        </w:rPr>
        <w:t xml:space="preserve">（二）特许经营权的经营形式、区域、范围和期限； </w:t>
      </w:r>
    </w:p>
    <w:p>
      <w:pPr>
        <w:rPr>
          <w:rFonts w:hint="eastAsia"/>
          <w:lang w:val="en-US" w:eastAsia="zh-CN"/>
        </w:rPr>
      </w:pPr>
      <w:r>
        <w:rPr>
          <w:rFonts w:hint="eastAsia"/>
          <w:lang w:val="en-US" w:eastAsia="zh-CN"/>
        </w:rPr>
        <w:t xml:space="preserve">（三）出让金数额、解缴方式和解缴时限； </w:t>
      </w:r>
    </w:p>
    <w:p>
      <w:pPr>
        <w:rPr>
          <w:rFonts w:hint="eastAsia"/>
          <w:lang w:val="en-US" w:eastAsia="zh-CN"/>
        </w:rPr>
      </w:pPr>
      <w:r>
        <w:rPr>
          <w:rFonts w:hint="eastAsia"/>
          <w:lang w:val="en-US" w:eastAsia="zh-CN"/>
        </w:rPr>
        <w:t xml:space="preserve">（四）是否成立项目公司以及项目公司的经营范围、注册资本、股东出资方式、出资比例、股权转让及其限制条件等； </w:t>
      </w:r>
    </w:p>
    <w:p>
      <w:pPr>
        <w:rPr>
          <w:rFonts w:hint="eastAsia"/>
          <w:lang w:val="en-US" w:eastAsia="zh-CN"/>
        </w:rPr>
      </w:pPr>
      <w:r>
        <w:rPr>
          <w:rFonts w:hint="eastAsia"/>
          <w:lang w:val="en-US" w:eastAsia="zh-CN"/>
        </w:rPr>
        <w:t xml:space="preserve">（五）公共产品和服务的数量、质量和标准； </w:t>
      </w:r>
    </w:p>
    <w:p>
      <w:pPr>
        <w:rPr>
          <w:rFonts w:hint="eastAsia"/>
          <w:lang w:val="en-US" w:eastAsia="zh-CN"/>
        </w:rPr>
      </w:pPr>
      <w:r>
        <w:rPr>
          <w:rFonts w:hint="eastAsia"/>
          <w:lang w:val="en-US" w:eastAsia="zh-CN"/>
        </w:rPr>
        <w:t xml:space="preserve">（六）投融资期限、方式，投资回报方式及其确定、调价机制； </w:t>
      </w:r>
    </w:p>
    <w:p>
      <w:pPr>
        <w:rPr>
          <w:rFonts w:hint="eastAsia"/>
          <w:lang w:val="en-US" w:eastAsia="zh-CN"/>
        </w:rPr>
      </w:pPr>
      <w:r>
        <w:rPr>
          <w:rFonts w:hint="eastAsia"/>
          <w:lang w:val="en-US" w:eastAsia="zh-CN"/>
        </w:rPr>
        <w:t xml:space="preserve">（七）特许经营者的权利义务和履约担保； </w:t>
      </w:r>
    </w:p>
    <w:p>
      <w:pPr>
        <w:rPr>
          <w:rFonts w:hint="eastAsia"/>
          <w:lang w:val="en-US" w:eastAsia="zh-CN"/>
        </w:rPr>
      </w:pPr>
      <w:r>
        <w:rPr>
          <w:rFonts w:hint="eastAsia"/>
          <w:lang w:val="en-US" w:eastAsia="zh-CN"/>
        </w:rPr>
        <w:t xml:space="preserve">（八）特许经营设施的维护与更新改造； </w:t>
      </w:r>
    </w:p>
    <w:p>
      <w:pPr>
        <w:rPr>
          <w:rFonts w:hint="eastAsia"/>
          <w:lang w:val="en-US" w:eastAsia="zh-CN"/>
        </w:rPr>
      </w:pPr>
      <w:r>
        <w:rPr>
          <w:rFonts w:hint="eastAsia"/>
          <w:lang w:val="en-US" w:eastAsia="zh-CN"/>
        </w:rPr>
        <w:t xml:space="preserve">（九）中止或者终止特许经营的条件及补偿方案； </w:t>
      </w:r>
    </w:p>
    <w:p>
      <w:pPr>
        <w:rPr>
          <w:rFonts w:hint="eastAsia"/>
          <w:lang w:val="en-US" w:eastAsia="zh-CN"/>
        </w:rPr>
      </w:pPr>
      <w:r>
        <w:rPr>
          <w:rFonts w:hint="eastAsia"/>
          <w:lang w:val="en-US" w:eastAsia="zh-CN"/>
        </w:rPr>
        <w:t xml:space="preserve">（十）特许经营项目的安全管理、应急预案以及移交或者临时接管的标准、方式和程序； </w:t>
      </w:r>
    </w:p>
    <w:p>
      <w:pPr>
        <w:rPr>
          <w:rFonts w:hint="eastAsia"/>
          <w:lang w:val="en-US" w:eastAsia="zh-CN"/>
        </w:rPr>
      </w:pPr>
      <w:r>
        <w:rPr>
          <w:rFonts w:hint="eastAsia"/>
          <w:lang w:val="en-US" w:eastAsia="zh-CN"/>
        </w:rPr>
        <w:t xml:space="preserve">（十一）违约责任和争议解决方式； </w:t>
      </w:r>
    </w:p>
    <w:p>
      <w:pPr>
        <w:rPr>
          <w:rFonts w:hint="eastAsia"/>
          <w:lang w:val="en-US" w:eastAsia="zh-CN"/>
        </w:rPr>
      </w:pPr>
      <w:r>
        <w:rPr>
          <w:rFonts w:hint="eastAsia"/>
          <w:lang w:val="en-US" w:eastAsia="zh-CN"/>
        </w:rPr>
        <w:t xml:space="preserve">（十二）政府监管和社会监督的内容； </w:t>
      </w:r>
    </w:p>
    <w:p>
      <w:pPr>
        <w:rPr>
          <w:rFonts w:hint="eastAsia"/>
          <w:lang w:val="en-US" w:eastAsia="zh-CN"/>
        </w:rPr>
      </w:pPr>
      <w:r>
        <w:rPr>
          <w:rFonts w:hint="eastAsia"/>
          <w:lang w:val="en-US" w:eastAsia="zh-CN"/>
        </w:rPr>
        <w:t xml:space="preserve">（十三）未尽事宜的处理以及合同约定的其他事项。 </w:t>
      </w:r>
    </w:p>
    <w:p>
      <w:pPr>
        <w:rPr>
          <w:rFonts w:hint="eastAsia"/>
          <w:lang w:val="en-US" w:eastAsia="zh-CN"/>
        </w:rPr>
      </w:pPr>
      <w:r>
        <w:rPr>
          <w:rFonts w:hint="eastAsia"/>
          <w:lang w:val="en-US" w:eastAsia="zh-CN"/>
        </w:rPr>
        <w:t xml:space="preserve">《特许经营合同》内容中不得承诺商业风险分担、固定投资回报率以及法律、法规、规章禁止的其他事项。 </w:t>
      </w:r>
    </w:p>
    <w:p>
      <w:pPr>
        <w:rPr>
          <w:rFonts w:hint="eastAsia"/>
          <w:lang w:val="en-US" w:eastAsia="zh-CN"/>
        </w:rPr>
      </w:pPr>
      <w:r>
        <w:rPr>
          <w:rFonts w:hint="eastAsia"/>
          <w:lang w:val="en-US" w:eastAsia="zh-CN"/>
        </w:rPr>
        <w:t xml:space="preserve">第十八条　通过招标、拍卖、网络竞价方式出让特许经营权的，《特许经营合同》由行业主管部门与特许经营权授予对象签订报市招标局审查备案后生效。通过其他方式出让特许经营权的，《特许经营合同》经市特许委批准后生效。 </w:t>
      </w:r>
    </w:p>
    <w:p>
      <w:pPr>
        <w:rPr>
          <w:rFonts w:hint="eastAsia"/>
          <w:lang w:val="en-US" w:eastAsia="zh-CN"/>
        </w:rPr>
      </w:pPr>
      <w:r>
        <w:rPr>
          <w:rFonts w:hint="eastAsia"/>
          <w:lang w:val="en-US" w:eastAsia="zh-CN"/>
        </w:rPr>
        <w:t xml:space="preserve">第十九条 特许经营者应当按照《特许经营合同》的约定按时足额支付特许经营权出让金。特许经营权出让金属于政府非税收入，纳入同级财政预算，实行收支两条线管理，并接受审计监督。 </w:t>
      </w:r>
    </w:p>
    <w:p>
      <w:pPr>
        <w:rPr>
          <w:rFonts w:hint="eastAsia"/>
          <w:lang w:val="en-US" w:eastAsia="zh-CN"/>
        </w:rPr>
      </w:pPr>
      <w:r>
        <w:rPr>
          <w:rFonts w:hint="eastAsia"/>
          <w:lang w:val="en-US" w:eastAsia="zh-CN"/>
        </w:rPr>
        <w:t xml:space="preserve">第二十条 特许经营者在特许经营期内享有下列权利： </w:t>
      </w:r>
    </w:p>
    <w:p>
      <w:pPr>
        <w:rPr>
          <w:rFonts w:hint="eastAsia"/>
          <w:lang w:val="en-US" w:eastAsia="zh-CN"/>
        </w:rPr>
      </w:pPr>
      <w:r>
        <w:rPr>
          <w:rFonts w:hint="eastAsia"/>
          <w:lang w:val="en-US" w:eastAsia="zh-CN"/>
        </w:rPr>
        <w:t xml:space="preserve">（一）独立经营管理特许经营权，国家机关、社会团体和其他组织不得非法干预其正常经营活动； </w:t>
      </w:r>
    </w:p>
    <w:p>
      <w:pPr>
        <w:rPr>
          <w:rFonts w:hint="eastAsia"/>
          <w:lang w:val="en-US" w:eastAsia="zh-CN"/>
        </w:rPr>
      </w:pPr>
      <w:r>
        <w:rPr>
          <w:rFonts w:hint="eastAsia"/>
          <w:lang w:val="en-US" w:eastAsia="zh-CN"/>
        </w:rPr>
        <w:t xml:space="preserve">（二）根据《特许经营合同》的约定，通过提供公共产品和服务而获得合理收益，并承担相应风险； </w:t>
      </w:r>
    </w:p>
    <w:p>
      <w:pPr>
        <w:rPr>
          <w:rFonts w:hint="eastAsia"/>
          <w:lang w:val="en-US" w:eastAsia="zh-CN"/>
        </w:rPr>
      </w:pPr>
      <w:r>
        <w:rPr>
          <w:rFonts w:hint="eastAsia"/>
          <w:lang w:val="en-US" w:eastAsia="zh-CN"/>
        </w:rPr>
        <w:t xml:space="preserve">（三）请求县（区）人民政府及其有关部门制止和排除侵害其特许经营权的行为； </w:t>
      </w:r>
    </w:p>
    <w:p>
      <w:pPr>
        <w:rPr>
          <w:rFonts w:hint="eastAsia"/>
          <w:lang w:val="en-US" w:eastAsia="zh-CN"/>
        </w:rPr>
      </w:pPr>
      <w:r>
        <w:rPr>
          <w:rFonts w:hint="eastAsia"/>
          <w:lang w:val="en-US" w:eastAsia="zh-CN"/>
        </w:rPr>
        <w:t xml:space="preserve">（四）对发展规划和价格等的调整提出合理建议； </w:t>
      </w:r>
    </w:p>
    <w:p>
      <w:pPr>
        <w:rPr>
          <w:rFonts w:hint="eastAsia"/>
          <w:lang w:val="en-US" w:eastAsia="zh-CN"/>
        </w:rPr>
      </w:pPr>
      <w:r>
        <w:rPr>
          <w:rFonts w:hint="eastAsia"/>
          <w:lang w:val="en-US" w:eastAsia="zh-CN"/>
        </w:rPr>
        <w:t xml:space="preserve">（五）平等享受有关优惠政策； </w:t>
      </w:r>
    </w:p>
    <w:p>
      <w:pPr>
        <w:rPr>
          <w:rFonts w:hint="eastAsia"/>
          <w:lang w:val="en-US" w:eastAsia="zh-CN"/>
        </w:rPr>
      </w:pPr>
      <w:r>
        <w:rPr>
          <w:rFonts w:hint="eastAsia"/>
          <w:lang w:val="en-US" w:eastAsia="zh-CN"/>
        </w:rPr>
        <w:t xml:space="preserve">（六）法律、法规、规章规定或《特许经营合同》约定的其他权利。 </w:t>
      </w:r>
    </w:p>
    <w:p>
      <w:pPr>
        <w:rPr>
          <w:rFonts w:hint="eastAsia"/>
          <w:lang w:val="en-US" w:eastAsia="zh-CN"/>
        </w:rPr>
      </w:pPr>
      <w:r>
        <w:rPr>
          <w:rFonts w:hint="eastAsia"/>
          <w:lang w:val="en-US" w:eastAsia="zh-CN"/>
        </w:rPr>
        <w:t xml:space="preserve">第二十一条 特许经营者在特许经营期内应当履行下列义务： </w:t>
      </w:r>
    </w:p>
    <w:p>
      <w:pPr>
        <w:rPr>
          <w:rFonts w:hint="eastAsia"/>
          <w:lang w:val="en-US" w:eastAsia="zh-CN"/>
        </w:rPr>
      </w:pPr>
      <w:r>
        <w:rPr>
          <w:rFonts w:hint="eastAsia"/>
          <w:lang w:val="en-US" w:eastAsia="zh-CN"/>
        </w:rPr>
        <w:t xml:space="preserve">（一）全面履行《特许经营合同》，为社会提供足量的、符合法律法规、国家标准、行业标准规定的公共产品和服务； </w:t>
      </w:r>
    </w:p>
    <w:p>
      <w:pPr>
        <w:rPr>
          <w:rFonts w:hint="eastAsia"/>
          <w:lang w:val="en-US" w:eastAsia="zh-CN"/>
        </w:rPr>
      </w:pPr>
      <w:r>
        <w:rPr>
          <w:rFonts w:hint="eastAsia"/>
          <w:lang w:val="en-US" w:eastAsia="zh-CN"/>
        </w:rPr>
        <w:t xml:space="preserve">（二）不得擅自以出租、转让、承包、挂靠等方式处置特许经营权； </w:t>
      </w:r>
    </w:p>
    <w:p>
      <w:pPr>
        <w:rPr>
          <w:rFonts w:hint="eastAsia"/>
          <w:lang w:val="en-US" w:eastAsia="zh-CN"/>
        </w:rPr>
      </w:pPr>
      <w:r>
        <w:rPr>
          <w:rFonts w:hint="eastAsia"/>
          <w:lang w:val="en-US" w:eastAsia="zh-CN"/>
        </w:rPr>
        <w:t xml:space="preserve">（三）不得利用自身优势地位妨碍其他特许经营者的合法经营活动，不得强制、限定、阻碍用户购买某种产品或者有其他侵害消费者合法权益的行为； </w:t>
      </w:r>
    </w:p>
    <w:p>
      <w:pPr>
        <w:rPr>
          <w:rFonts w:hint="eastAsia"/>
          <w:lang w:val="en-US" w:eastAsia="zh-CN"/>
        </w:rPr>
      </w:pPr>
      <w:r>
        <w:rPr>
          <w:rFonts w:hint="eastAsia"/>
          <w:lang w:val="en-US" w:eastAsia="zh-CN"/>
        </w:rPr>
        <w:t xml:space="preserve">（四）按照国家安全生产法规和行业安全生产标准，对特许经营项目进行安全管理； </w:t>
      </w:r>
    </w:p>
    <w:p>
      <w:pPr>
        <w:rPr>
          <w:rFonts w:hint="eastAsia"/>
          <w:lang w:val="en-US" w:eastAsia="zh-CN"/>
        </w:rPr>
      </w:pPr>
      <w:r>
        <w:rPr>
          <w:rFonts w:hint="eastAsia"/>
          <w:lang w:val="en-US" w:eastAsia="zh-CN"/>
        </w:rPr>
        <w:t xml:space="preserve">（五）加强对设施、设备的运行维护和更新改造，确保设施完好，不得擅自改变设施、设备的功能和用途； </w:t>
      </w:r>
    </w:p>
    <w:p>
      <w:pPr>
        <w:rPr>
          <w:rFonts w:hint="eastAsia"/>
          <w:lang w:val="en-US" w:eastAsia="zh-CN"/>
        </w:rPr>
      </w:pPr>
      <w:r>
        <w:rPr>
          <w:rFonts w:hint="eastAsia"/>
          <w:lang w:val="en-US" w:eastAsia="zh-CN"/>
        </w:rPr>
        <w:t xml:space="preserve">（六）接受行业主管部门对公共产品和服务质量的监督检查，提供咨询服务，向公众公示公共产品和服务的标准、价格等； </w:t>
      </w:r>
    </w:p>
    <w:p>
      <w:pPr>
        <w:rPr>
          <w:rFonts w:hint="eastAsia"/>
          <w:lang w:val="en-US" w:eastAsia="zh-CN"/>
        </w:rPr>
      </w:pPr>
      <w:r>
        <w:rPr>
          <w:rFonts w:hint="eastAsia"/>
          <w:lang w:val="en-US" w:eastAsia="zh-CN"/>
        </w:rPr>
        <w:t xml:space="preserve">（七）在规定时间内将中长期发展规划、年度经营计划、年度报告、董事会决议等报行业主管部门备案； </w:t>
      </w:r>
    </w:p>
    <w:p>
      <w:pPr>
        <w:rPr>
          <w:rFonts w:hint="eastAsia"/>
          <w:lang w:val="en-US" w:eastAsia="zh-CN"/>
        </w:rPr>
      </w:pPr>
      <w:r>
        <w:rPr>
          <w:rFonts w:hint="eastAsia"/>
          <w:lang w:val="en-US" w:eastAsia="zh-CN"/>
        </w:rPr>
        <w:t xml:space="preserve">（八）完善信息化管理系统，对特许经营项目的相关资料进行收集、归类、整理和归档； </w:t>
      </w:r>
    </w:p>
    <w:p>
      <w:pPr>
        <w:rPr>
          <w:rFonts w:hint="eastAsia"/>
          <w:lang w:val="en-US" w:eastAsia="zh-CN"/>
        </w:rPr>
      </w:pPr>
      <w:r>
        <w:rPr>
          <w:rFonts w:hint="eastAsia"/>
          <w:lang w:val="en-US" w:eastAsia="zh-CN"/>
        </w:rPr>
        <w:t xml:space="preserve">（九）法律、法规、规章规定或《特许经营合同》约定的其他义务。 </w:t>
      </w:r>
    </w:p>
    <w:p>
      <w:pPr>
        <w:rPr>
          <w:rFonts w:hint="eastAsia"/>
          <w:lang w:val="en-US" w:eastAsia="zh-CN"/>
        </w:rPr>
      </w:pPr>
      <w:r>
        <w:rPr>
          <w:rFonts w:hint="eastAsia"/>
          <w:lang w:val="en-US" w:eastAsia="zh-CN"/>
        </w:rPr>
        <w:t xml:space="preserve">第二十二条 特许经营者经营市政公用设施的，在保证公共安全和保障特许经营者合法权益的情况下，应当允许其他经营者和用户按照规划要求连接其市政公用设施，收费标准按照市价格主管部门的规定执行。　 </w:t>
      </w:r>
    </w:p>
    <w:p>
      <w:pPr>
        <w:rPr>
          <w:rFonts w:hint="eastAsia"/>
          <w:lang w:val="en-US" w:eastAsia="zh-CN"/>
        </w:rPr>
      </w:pPr>
      <w:r>
        <w:rPr>
          <w:rFonts w:hint="eastAsia"/>
          <w:lang w:val="en-US" w:eastAsia="zh-CN"/>
        </w:rPr>
        <w:t xml:space="preserve">特许经营者因建设和维护市政公用设施需要进入某一区域或者建（构）筑物的，应当事先与权利人协商，征得其同意后方可进入。 </w:t>
      </w:r>
    </w:p>
    <w:p>
      <w:pPr>
        <w:rPr>
          <w:rFonts w:hint="eastAsia"/>
          <w:lang w:val="en-US" w:eastAsia="zh-CN"/>
        </w:rPr>
      </w:pPr>
      <w:r>
        <w:rPr>
          <w:rFonts w:hint="eastAsia"/>
          <w:lang w:val="en-US" w:eastAsia="zh-CN"/>
        </w:rPr>
        <w:t xml:space="preserve">第二十三条 有下列情形之一的，特许经营者应当配合，由此造成的直接损失和必要费用支出，有权获得相应补偿： </w:t>
      </w:r>
    </w:p>
    <w:p>
      <w:pPr>
        <w:rPr>
          <w:rFonts w:hint="eastAsia"/>
          <w:lang w:val="en-US" w:eastAsia="zh-CN"/>
        </w:rPr>
      </w:pPr>
      <w:r>
        <w:rPr>
          <w:rFonts w:hint="eastAsia"/>
          <w:lang w:val="en-US" w:eastAsia="zh-CN"/>
        </w:rPr>
        <w:t xml:space="preserve">（一）已获特许经营权的市政公用设施因公共利益需要而依法被征用；　 </w:t>
      </w:r>
    </w:p>
    <w:p>
      <w:pPr>
        <w:rPr>
          <w:rFonts w:hint="eastAsia"/>
          <w:lang w:val="en-US" w:eastAsia="zh-CN"/>
        </w:rPr>
      </w:pPr>
      <w:r>
        <w:rPr>
          <w:rFonts w:hint="eastAsia"/>
          <w:lang w:val="en-US" w:eastAsia="zh-CN"/>
        </w:rPr>
        <w:t xml:space="preserve">（二）承担政府公益性指令任务； </w:t>
      </w:r>
    </w:p>
    <w:p>
      <w:pPr>
        <w:rPr>
          <w:rFonts w:hint="eastAsia"/>
          <w:lang w:val="en-US" w:eastAsia="zh-CN"/>
        </w:rPr>
      </w:pPr>
      <w:r>
        <w:rPr>
          <w:rFonts w:hint="eastAsia"/>
          <w:lang w:val="en-US" w:eastAsia="zh-CN"/>
        </w:rPr>
        <w:t xml:space="preserve">（三）法律、法规、规章规定的其他情形。 </w:t>
      </w:r>
    </w:p>
    <w:p>
      <w:pPr>
        <w:rPr>
          <w:rFonts w:hint="eastAsia"/>
          <w:lang w:val="en-US" w:eastAsia="zh-CN"/>
        </w:rPr>
      </w:pPr>
      <w:r>
        <w:rPr>
          <w:rFonts w:hint="eastAsia"/>
          <w:lang w:val="en-US" w:eastAsia="zh-CN"/>
        </w:rPr>
        <w:t xml:space="preserve">特许经营者对行政补偿有争议的，可依法申请行政复议或提起行政诉讼。 </w:t>
      </w:r>
    </w:p>
    <w:p>
      <w:pPr>
        <w:rPr>
          <w:rFonts w:hint="eastAsia"/>
          <w:lang w:val="en-US" w:eastAsia="zh-CN"/>
        </w:rPr>
      </w:pPr>
      <w:r>
        <w:rPr>
          <w:rFonts w:hint="eastAsia"/>
          <w:lang w:val="en-US" w:eastAsia="zh-CN"/>
        </w:rPr>
        <w:t xml:space="preserve">第二十四条 在《特许经营合同》有效期内，因法律、法规、规章发生变化或者所依据的客观情况发生重大变化，为了公共利益的需要，行业主管部门应当与特许经营者协商解除合同。因解除合同导致特许经营者财产损失的，应当依法予以补偿。　 </w:t>
      </w:r>
    </w:p>
    <w:p>
      <w:pPr>
        <w:rPr>
          <w:rFonts w:hint="eastAsia"/>
          <w:lang w:val="en-US" w:eastAsia="zh-CN"/>
        </w:rPr>
      </w:pPr>
      <w:r>
        <w:rPr>
          <w:rFonts w:hint="eastAsia"/>
          <w:lang w:val="en-US" w:eastAsia="zh-CN"/>
        </w:rPr>
        <w:t xml:space="preserve">特许经营者在《特许经营合同》有效期内单方提出解除合同的，应当提前4个月提出书面申请，行业主管部门应当自收到申请之日起3个月内作出答复。在行业主管部门同意解除合同前，特许经营者必须保证正常的经营与服务。 </w:t>
      </w:r>
    </w:p>
    <w:p>
      <w:pPr>
        <w:rPr>
          <w:rFonts w:hint="eastAsia"/>
          <w:lang w:val="en-US" w:eastAsia="zh-CN"/>
        </w:rPr>
      </w:pPr>
      <w:r>
        <w:rPr>
          <w:rFonts w:hint="eastAsia"/>
          <w:lang w:val="en-US" w:eastAsia="zh-CN"/>
        </w:rPr>
        <w:t xml:space="preserve">第二十五条 特许经营者在特许经营期内有下列情形之一的，除法律、法规、规章另有规定外，行业主管部门应当在报请市特许委批准后终止《特许经营合同》，撤销其特许经营权，按照《特许经营合同》的约定提取履约担保，并实施临时接管：　 </w:t>
      </w:r>
    </w:p>
    <w:p>
      <w:pPr>
        <w:rPr>
          <w:rFonts w:hint="eastAsia"/>
          <w:lang w:val="en-US" w:eastAsia="zh-CN"/>
        </w:rPr>
      </w:pPr>
      <w:r>
        <w:rPr>
          <w:rFonts w:hint="eastAsia"/>
          <w:lang w:val="en-US" w:eastAsia="zh-CN"/>
        </w:rPr>
        <w:t xml:space="preserve">（一）以欺诈、贿赂等不正当手段获得特许经营权的； </w:t>
      </w:r>
    </w:p>
    <w:p>
      <w:pPr>
        <w:rPr>
          <w:rFonts w:hint="eastAsia"/>
          <w:lang w:val="en-US" w:eastAsia="zh-CN"/>
        </w:rPr>
      </w:pPr>
      <w:r>
        <w:rPr>
          <w:rFonts w:hint="eastAsia"/>
          <w:lang w:val="en-US" w:eastAsia="zh-CN"/>
        </w:rPr>
        <w:t xml:space="preserve">（二）擅自出租、转让特许经营权或者采取承包、挂靠等方式变相转让特许经营权的； </w:t>
      </w:r>
    </w:p>
    <w:p>
      <w:pPr>
        <w:rPr>
          <w:rFonts w:hint="eastAsia"/>
          <w:lang w:val="en-US" w:eastAsia="zh-CN"/>
        </w:rPr>
      </w:pPr>
      <w:r>
        <w:rPr>
          <w:rFonts w:hint="eastAsia"/>
          <w:lang w:val="en-US" w:eastAsia="zh-CN"/>
        </w:rPr>
        <w:t xml:space="preserve">（三）擅自将市政公用设施和所经营的公共财产进行抵押、质押、出租、转让、挪用的； </w:t>
      </w:r>
    </w:p>
    <w:p>
      <w:pPr>
        <w:rPr>
          <w:rFonts w:hint="eastAsia"/>
          <w:lang w:val="en-US" w:eastAsia="zh-CN"/>
        </w:rPr>
      </w:pPr>
      <w:r>
        <w:rPr>
          <w:rFonts w:hint="eastAsia"/>
          <w:lang w:val="en-US" w:eastAsia="zh-CN"/>
        </w:rPr>
        <w:t xml:space="preserve">（四）因转让企业股权或者财产使企业不再符合特许经营条件的； </w:t>
      </w:r>
    </w:p>
    <w:p>
      <w:pPr>
        <w:rPr>
          <w:rFonts w:hint="eastAsia"/>
          <w:lang w:val="en-US" w:eastAsia="zh-CN"/>
        </w:rPr>
      </w:pPr>
      <w:r>
        <w:rPr>
          <w:rFonts w:hint="eastAsia"/>
          <w:lang w:val="en-US" w:eastAsia="zh-CN"/>
        </w:rPr>
        <w:t xml:space="preserve">（五）提供的公共产品和服务不符合《特许经营合同》约定或者法律法规、国家标准、行业标准规定的要求，严重影响公众利益的； </w:t>
      </w:r>
    </w:p>
    <w:p>
      <w:pPr>
        <w:rPr>
          <w:rFonts w:hint="eastAsia"/>
          <w:lang w:val="en-US" w:eastAsia="zh-CN"/>
        </w:rPr>
      </w:pPr>
      <w:r>
        <w:rPr>
          <w:rFonts w:hint="eastAsia"/>
          <w:lang w:val="en-US" w:eastAsia="zh-CN"/>
        </w:rPr>
        <w:t xml:space="preserve">（六）因经营管理不善，造成重大质量安全责任事故或者环境污染事故，严重影响公众利益的； </w:t>
      </w:r>
    </w:p>
    <w:p>
      <w:pPr>
        <w:rPr>
          <w:rFonts w:hint="eastAsia"/>
          <w:lang w:val="en-US" w:eastAsia="zh-CN"/>
        </w:rPr>
      </w:pPr>
      <w:r>
        <w:rPr>
          <w:rFonts w:hint="eastAsia"/>
          <w:lang w:val="en-US" w:eastAsia="zh-CN"/>
        </w:rPr>
        <w:t xml:space="preserve">（七）因经营管理原因，财务状况严重恶化，无法继续履行《特许经营合同》，严重影响公众利益的； </w:t>
      </w:r>
    </w:p>
    <w:p>
      <w:pPr>
        <w:rPr>
          <w:rFonts w:hint="eastAsia"/>
          <w:lang w:val="en-US" w:eastAsia="zh-CN"/>
        </w:rPr>
      </w:pPr>
      <w:r>
        <w:rPr>
          <w:rFonts w:hint="eastAsia"/>
          <w:lang w:val="en-US" w:eastAsia="zh-CN"/>
        </w:rPr>
        <w:t xml:space="preserve">（八）擅自停业、歇业，未履行《特许经营合同》规定的义务和责任，严重影响公众利益和公共安全的； </w:t>
      </w:r>
    </w:p>
    <w:p>
      <w:pPr>
        <w:rPr>
          <w:rFonts w:hint="eastAsia"/>
          <w:lang w:val="en-US" w:eastAsia="zh-CN"/>
        </w:rPr>
      </w:pPr>
      <w:r>
        <w:rPr>
          <w:rFonts w:hint="eastAsia"/>
          <w:lang w:val="en-US" w:eastAsia="zh-CN"/>
        </w:rPr>
        <w:t xml:space="preserve">（九）法律、法规、规章规定或《特许经营合同》约定的其他情形。 </w:t>
      </w:r>
    </w:p>
    <w:p>
      <w:pPr>
        <w:rPr>
          <w:rFonts w:hint="eastAsia"/>
          <w:lang w:val="en-US" w:eastAsia="zh-CN"/>
        </w:rPr>
      </w:pPr>
      <w:r>
        <w:rPr>
          <w:rFonts w:hint="eastAsia"/>
          <w:lang w:val="en-US" w:eastAsia="zh-CN"/>
        </w:rPr>
        <w:t xml:space="preserve">被撤销特许经营权的公民、法人或者其他组织，3年内不得参与竞争我市特许经营项目。 </w:t>
      </w:r>
    </w:p>
    <w:p>
      <w:pPr>
        <w:rPr>
          <w:rFonts w:hint="eastAsia"/>
          <w:lang w:val="en-US" w:eastAsia="zh-CN"/>
        </w:rPr>
      </w:pPr>
      <w:r>
        <w:rPr>
          <w:rFonts w:hint="eastAsia"/>
          <w:lang w:val="en-US" w:eastAsia="zh-CN"/>
        </w:rPr>
        <w:t xml:space="preserve">第二十六条 在作出撤销特许经营权决定之前，行业主管部门应当书面通知特许经营者。特许经营者可以自收到书面通知之日起5日内，提出书面申辩或者要求举行听证会。特许经营者要求举行听证的，行业主管部门应当自收到书面申请之日起20日内组织听证。　 </w:t>
      </w:r>
    </w:p>
    <w:p>
      <w:pPr>
        <w:rPr>
          <w:rFonts w:hint="eastAsia"/>
          <w:lang w:val="en-US" w:eastAsia="zh-CN"/>
        </w:rPr>
      </w:pPr>
      <w:r>
        <w:rPr>
          <w:rFonts w:hint="eastAsia"/>
          <w:lang w:val="en-US" w:eastAsia="zh-CN"/>
        </w:rPr>
        <w:t xml:space="preserve">在作出撤销特许经营权决定之后，特许经营者对决定不服的，可以依法申请行政复议或者提起行政诉讼。 </w:t>
      </w:r>
    </w:p>
    <w:p>
      <w:pPr>
        <w:rPr>
          <w:rFonts w:hint="eastAsia"/>
          <w:lang w:val="en-US" w:eastAsia="zh-CN"/>
        </w:rPr>
      </w:pPr>
      <w:r>
        <w:rPr>
          <w:rFonts w:hint="eastAsia"/>
          <w:lang w:val="en-US" w:eastAsia="zh-CN"/>
        </w:rPr>
        <w:t xml:space="preserve">第二十七条 有下列情形之一的，行业主管部门应当成立临时接管委员会，依法对被接管的特许经营项目实施临时接管，并对特许经营者的资产状况进行审查监督，责令其限期移交全部特许经营资产和档案：　 </w:t>
      </w:r>
    </w:p>
    <w:p>
      <w:pPr>
        <w:rPr>
          <w:rFonts w:hint="eastAsia"/>
          <w:lang w:val="en-US" w:eastAsia="zh-CN"/>
        </w:rPr>
      </w:pPr>
      <w:r>
        <w:rPr>
          <w:rFonts w:hint="eastAsia"/>
          <w:lang w:val="en-US" w:eastAsia="zh-CN"/>
        </w:rPr>
        <w:t xml:space="preserve">（一）按照本办法第二十四条第二款之规定，行业主管部门同意特许经营者单方解除合同后，新的特许经营者尚未产生的； </w:t>
      </w:r>
    </w:p>
    <w:p>
      <w:pPr>
        <w:rPr>
          <w:rFonts w:hint="eastAsia"/>
          <w:lang w:val="en-US" w:eastAsia="zh-CN"/>
        </w:rPr>
      </w:pPr>
      <w:r>
        <w:rPr>
          <w:rFonts w:hint="eastAsia"/>
          <w:lang w:val="en-US" w:eastAsia="zh-CN"/>
        </w:rPr>
        <w:t xml:space="preserve">（二）按照本办法第二十五条之规定，特许经营权被撤销后，新的特许经营者尚未产生的； </w:t>
      </w:r>
    </w:p>
    <w:p>
      <w:pPr>
        <w:rPr>
          <w:rFonts w:hint="eastAsia"/>
          <w:lang w:val="en-US" w:eastAsia="zh-CN"/>
        </w:rPr>
      </w:pPr>
      <w:r>
        <w:rPr>
          <w:rFonts w:hint="eastAsia"/>
          <w:lang w:val="en-US" w:eastAsia="zh-CN"/>
        </w:rPr>
        <w:t xml:space="preserve">（三）需要实施临时接管的其他情形。 </w:t>
      </w:r>
    </w:p>
    <w:p>
      <w:pPr>
        <w:rPr>
          <w:rFonts w:hint="eastAsia"/>
          <w:lang w:val="en-US" w:eastAsia="zh-CN"/>
        </w:rPr>
      </w:pPr>
      <w:r>
        <w:rPr>
          <w:rFonts w:hint="eastAsia"/>
          <w:lang w:val="en-US" w:eastAsia="zh-CN"/>
        </w:rPr>
        <w:t xml:space="preserve">实施临时接管后，临时接管委员会应当采取有效措施保证被接管的特许经营项目的连续性和稳定性，并自临时接管之日起3个月内，按照本办法规定的出让程序重新确定新的特许经营者。 </w:t>
      </w:r>
    </w:p>
    <w:p>
      <w:pPr>
        <w:rPr>
          <w:rFonts w:hint="eastAsia"/>
          <w:lang w:val="en-US" w:eastAsia="zh-CN"/>
        </w:rPr>
      </w:pPr>
      <w:r>
        <w:rPr>
          <w:rFonts w:hint="eastAsia"/>
          <w:lang w:val="en-US" w:eastAsia="zh-CN"/>
        </w:rPr>
        <w:t xml:space="preserve">第二十八条 特许经营权的出让和管理应当保证国家和公众利益不受侵害，公众对出让的特许经营权享有知情权，对侵害公众利益的行为有权进行投诉、举报。 </w:t>
      </w:r>
    </w:p>
    <w:p>
      <w:pPr>
        <w:rPr>
          <w:rFonts w:hint="eastAsia"/>
          <w:lang w:val="en-US" w:eastAsia="zh-CN"/>
        </w:rPr>
      </w:pPr>
      <w:r>
        <w:rPr>
          <w:rFonts w:hint="eastAsia"/>
          <w:lang w:val="en-US" w:eastAsia="zh-CN"/>
        </w:rPr>
        <w:t xml:space="preserve">行业主管部门和特许经营者应当建立公众参与机制，提供咨询服务，保障公众能对特许经营情况进行监督。 </w:t>
      </w:r>
    </w:p>
    <w:p>
      <w:pPr>
        <w:rPr>
          <w:rFonts w:hint="eastAsia"/>
          <w:lang w:val="en-US" w:eastAsia="zh-CN"/>
        </w:rPr>
      </w:pPr>
      <w:r>
        <w:rPr>
          <w:rFonts w:hint="eastAsia"/>
          <w:lang w:val="en-US" w:eastAsia="zh-CN"/>
        </w:rPr>
        <w:t xml:space="preserve">第二十九条 实行特许经营的公共产品和服务的价格应当保持相对稳定。价格主管部门应当在合理配置资源和保证社会公共利益的前提下，根据国家政策规定、行业平均成本，兼顾特许经营者合理利益，依法组织听证，确定或者调整特许经营项目的价格，并进行监管。 </w:t>
      </w:r>
    </w:p>
    <w:p>
      <w:pPr>
        <w:rPr>
          <w:rFonts w:hint="eastAsia"/>
          <w:lang w:val="en-US" w:eastAsia="zh-CN"/>
        </w:rPr>
      </w:pPr>
      <w:r>
        <w:rPr>
          <w:rFonts w:hint="eastAsia"/>
          <w:lang w:val="en-US" w:eastAsia="zh-CN"/>
        </w:rPr>
        <w:t xml:space="preserve">第三十条 经营市政公用设施的特许经营者有下列情形之一的，由行业主管部门责令改正，并按照《特许经营合同》的约定提取履约担保： </w:t>
      </w:r>
    </w:p>
    <w:p>
      <w:pPr>
        <w:rPr>
          <w:rFonts w:hint="eastAsia"/>
          <w:lang w:val="en-US" w:eastAsia="zh-CN"/>
        </w:rPr>
      </w:pPr>
      <w:r>
        <w:rPr>
          <w:rFonts w:hint="eastAsia"/>
          <w:lang w:val="en-US" w:eastAsia="zh-CN"/>
        </w:rPr>
        <w:t xml:space="preserve">（一）超出《特许经营合同》约定的经营范围经营的； </w:t>
      </w:r>
    </w:p>
    <w:p>
      <w:pPr>
        <w:rPr>
          <w:rFonts w:hint="eastAsia"/>
          <w:lang w:val="en-US" w:eastAsia="zh-CN"/>
        </w:rPr>
      </w:pPr>
      <w:r>
        <w:rPr>
          <w:rFonts w:hint="eastAsia"/>
          <w:lang w:val="en-US" w:eastAsia="zh-CN"/>
        </w:rPr>
        <w:t xml:space="preserve">（二）擅自改变市政公用设施及土地用途，或者擅自将项目土地及设施用于项目之外的； </w:t>
      </w:r>
    </w:p>
    <w:p>
      <w:pPr>
        <w:rPr>
          <w:rFonts w:hint="eastAsia"/>
          <w:lang w:val="en-US" w:eastAsia="zh-CN"/>
        </w:rPr>
      </w:pPr>
      <w:r>
        <w:rPr>
          <w:rFonts w:hint="eastAsia"/>
          <w:lang w:val="en-US" w:eastAsia="zh-CN"/>
        </w:rPr>
        <w:t xml:space="preserve">（三）不对市政公用设施的状况及性能进行定期检修保养，或者在项目中止时未按约定履行看守职责的； </w:t>
      </w:r>
    </w:p>
    <w:p>
      <w:pPr>
        <w:rPr>
          <w:rFonts w:hint="eastAsia"/>
          <w:lang w:val="en-US" w:eastAsia="zh-CN"/>
        </w:rPr>
      </w:pPr>
      <w:r>
        <w:rPr>
          <w:rFonts w:hint="eastAsia"/>
          <w:lang w:val="en-US" w:eastAsia="zh-CN"/>
        </w:rPr>
        <w:t xml:space="preserve">（四）不对各项市政公用设施的相关资料进行收集、归类、整理和归档，没有完善信息化管理系统的； </w:t>
      </w:r>
    </w:p>
    <w:p>
      <w:pPr>
        <w:rPr>
          <w:rFonts w:hint="eastAsia"/>
          <w:lang w:val="en-US" w:eastAsia="zh-CN"/>
        </w:rPr>
      </w:pPr>
      <w:r>
        <w:rPr>
          <w:rFonts w:hint="eastAsia"/>
          <w:lang w:val="en-US" w:eastAsia="zh-CN"/>
        </w:rPr>
        <w:t xml:space="preserve">（五）不按照规划要求或者《特许经营合同》的约定建设和更新市政公用设施的； </w:t>
      </w:r>
    </w:p>
    <w:p>
      <w:pPr>
        <w:rPr>
          <w:rFonts w:hint="eastAsia"/>
          <w:lang w:val="en-US" w:eastAsia="zh-CN"/>
        </w:rPr>
      </w:pPr>
      <w:r>
        <w:rPr>
          <w:rFonts w:hint="eastAsia"/>
          <w:lang w:val="en-US" w:eastAsia="zh-CN"/>
        </w:rPr>
        <w:t xml:space="preserve">（六）不按照《特许经营合同》的约定将相关信息报送行业主管部门备案或者不向社会公示相关信息的； </w:t>
      </w:r>
    </w:p>
    <w:p>
      <w:pPr>
        <w:rPr>
          <w:rFonts w:hint="eastAsia"/>
          <w:lang w:val="en-US" w:eastAsia="zh-CN"/>
        </w:rPr>
      </w:pPr>
      <w:r>
        <w:rPr>
          <w:rFonts w:hint="eastAsia"/>
          <w:lang w:val="en-US" w:eastAsia="zh-CN"/>
        </w:rPr>
        <w:t xml:space="preserve">（七）不允许其他特许经营者和用户按照规划要求连接其特许经营的市政公用设施的； </w:t>
      </w:r>
    </w:p>
    <w:p>
      <w:pPr>
        <w:rPr>
          <w:rFonts w:hint="eastAsia"/>
          <w:lang w:val="en-US" w:eastAsia="zh-CN"/>
        </w:rPr>
      </w:pPr>
      <w:r>
        <w:rPr>
          <w:rFonts w:hint="eastAsia"/>
          <w:lang w:val="en-US" w:eastAsia="zh-CN"/>
        </w:rPr>
        <w:t xml:space="preserve">（八）不配合行业主管部门依据相关法律、法规、规章的规定或者《特许经营合同》的约定进行指导、监管的； </w:t>
      </w:r>
    </w:p>
    <w:p>
      <w:pPr>
        <w:rPr>
          <w:rFonts w:hint="eastAsia"/>
          <w:lang w:val="en-US" w:eastAsia="zh-CN"/>
        </w:rPr>
      </w:pPr>
      <w:r>
        <w:rPr>
          <w:rFonts w:hint="eastAsia"/>
          <w:lang w:val="en-US" w:eastAsia="zh-CN"/>
        </w:rPr>
        <w:t xml:space="preserve">（九）特许经营权被临时接管时，未在规定时间内将全部特许经营资产和档案移交临时接管委员会指定的单位的； </w:t>
      </w:r>
    </w:p>
    <w:p>
      <w:pPr>
        <w:rPr>
          <w:rFonts w:hint="eastAsia"/>
          <w:lang w:val="en-US" w:eastAsia="zh-CN"/>
        </w:rPr>
      </w:pPr>
      <w:r>
        <w:rPr>
          <w:rFonts w:hint="eastAsia"/>
          <w:lang w:val="en-US" w:eastAsia="zh-CN"/>
        </w:rPr>
        <w:t xml:space="preserve">（十）《特许经营合同》约定的其他情形。 </w:t>
      </w:r>
    </w:p>
    <w:p>
      <w:pPr>
        <w:rPr>
          <w:rFonts w:hint="eastAsia"/>
          <w:lang w:val="en-US" w:eastAsia="zh-CN"/>
        </w:rPr>
      </w:pPr>
      <w:r>
        <w:rPr>
          <w:rFonts w:hint="eastAsia"/>
          <w:lang w:val="en-US" w:eastAsia="zh-CN"/>
        </w:rPr>
        <w:t xml:space="preserve">第三十一条 行业主管部门或者特许经营者违反《特许经营合同》，给对方造成损失的，由违约方承担赔偿责任；双方均违约的，各自承担赔偿责任。 </w:t>
      </w:r>
    </w:p>
    <w:p>
      <w:pPr>
        <w:rPr>
          <w:rFonts w:hint="eastAsia"/>
          <w:lang w:val="en-US" w:eastAsia="zh-CN"/>
        </w:rPr>
      </w:pPr>
      <w:r>
        <w:rPr>
          <w:rFonts w:hint="eastAsia"/>
          <w:lang w:val="en-US" w:eastAsia="zh-CN"/>
        </w:rPr>
        <w:t xml:space="preserve">第三十二条 从事特许经营权出让和监督管理的行政机关及其工作人员有下列情形之一的，由其上级行政机关或者监察机关责令改正，对负有主要责任的主管人员和其他直接责任人员依法给予行政处分；构成犯罪的，依法追究刑事责任： </w:t>
      </w:r>
    </w:p>
    <w:p>
      <w:pPr>
        <w:rPr>
          <w:rFonts w:hint="eastAsia"/>
          <w:lang w:val="en-US" w:eastAsia="zh-CN"/>
        </w:rPr>
      </w:pPr>
      <w:r>
        <w:rPr>
          <w:rFonts w:hint="eastAsia"/>
          <w:lang w:val="en-US" w:eastAsia="zh-CN"/>
        </w:rPr>
        <w:t xml:space="preserve">（一）弄虚作假、徇私舞弊、滥用职权、玩忽职守的； </w:t>
      </w:r>
    </w:p>
    <w:p>
      <w:pPr>
        <w:rPr>
          <w:rFonts w:hint="eastAsia"/>
          <w:lang w:val="en-US" w:eastAsia="zh-CN"/>
        </w:rPr>
      </w:pPr>
      <w:r>
        <w:rPr>
          <w:rFonts w:hint="eastAsia"/>
          <w:lang w:val="en-US" w:eastAsia="zh-CN"/>
        </w:rPr>
        <w:t xml:space="preserve">（二）对不符合法定条件的竞标者、竞拍者等授予特许经营权或者不按程序实施特许经营权出让的； </w:t>
      </w:r>
    </w:p>
    <w:p>
      <w:pPr>
        <w:rPr>
          <w:rFonts w:hint="eastAsia"/>
          <w:lang w:val="en-US" w:eastAsia="zh-CN"/>
        </w:rPr>
      </w:pPr>
      <w:r>
        <w:rPr>
          <w:rFonts w:hint="eastAsia"/>
          <w:lang w:val="en-US" w:eastAsia="zh-CN"/>
        </w:rPr>
        <w:t xml:space="preserve">（三）不依法履行监督职责或者监督不力，造成严重后果的。 </w:t>
      </w:r>
    </w:p>
    <w:p>
      <w:pPr>
        <w:rPr>
          <w:rFonts w:hint="eastAsia"/>
          <w:lang w:val="en-US" w:eastAsia="zh-CN"/>
        </w:rPr>
      </w:pPr>
      <w:r>
        <w:rPr>
          <w:rFonts w:hint="eastAsia"/>
          <w:lang w:val="en-US" w:eastAsia="zh-CN"/>
        </w:rPr>
        <w:t xml:space="preserve">第三十三条 本办法由蚌埠市招标局和蚌埠市发改委负责解释。 </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F Automaton Extended"/>
    <w:panose1 w:val="00000000000000000000"/>
    <w:charset w:val="00"/>
    <w:family w:val="auto"/>
    <w:pitch w:val="default"/>
    <w:sig w:usb0="00000000" w:usb1="00000000" w:usb2="00000000" w:usb3="00000000" w:csb0="00000000" w:csb1="00000000"/>
  </w:font>
  <w:font w:name="SF Automaton Extended">
    <w:panose1 w:val="02000400000000000000"/>
    <w:charset w:val="00"/>
    <w:family w:val="auto"/>
    <w:pitch w:val="default"/>
    <w:sig w:usb0="80000023" w:usb1="00000000" w:usb2="00000000" w:usb3="00000000" w:csb0="0000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CF3C52" w:usb2="00000016" w:usb3="00000000" w:csb0="0004001F" w:csb1="00000000"/>
  </w:font>
  <w:font w:name="sans-serif">
    <w:altName w:val="SF Automaton Extended"/>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 serif">
    <w:altName w:val="SF Automaton Extended"/>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0000000000000000000"/>
    <w:charset w:val="00"/>
    <w:family w:val="auto"/>
    <w:pitch w:val="default"/>
    <w:sig w:usb0="00000000" w:usb1="00000000" w:usb2="00000000" w:usb3="00000000" w:csb0="00000000" w:csb1="00000000"/>
  </w:font>
  <w:font w:name="方正书宋简体">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宋体: ; mso-spacerun:  yes :">
    <w:altName w:val="宋体"/>
    <w:panose1 w:val="00000000000000000000"/>
    <w:charset w:val="00"/>
    <w:family w:val="auto"/>
    <w:pitch w:val="default"/>
    <w:sig w:usb0="00000000" w:usb1="00000000" w:usb2="00000000" w:usb3="00000000" w:csb0="00000000" w:csb1="00000000"/>
  </w:font>
  <w:font w:name="宋体 ，Arial">
    <w:altName w:val="宋体"/>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43" w:usb2="00000009" w:usb3="00000000" w:csb0="400001FF" w:csb1="FFFF0000"/>
  </w:font>
  <w:font w:name="Glyphicons Halflings">
    <w:altName w:val="SF Automaton Extended"/>
    <w:panose1 w:val="00000000000000000000"/>
    <w:charset w:val="00"/>
    <w:family w:val="auto"/>
    <w:pitch w:val="default"/>
    <w:sig w:usb0="00000000" w:usb1="00000000" w:usb2="00000000" w:usb3="00000000" w:csb0="00000000" w:csb1="00000000"/>
  </w:font>
  <w:font w:name="Menlo">
    <w:altName w:val="SF Automaton Extended"/>
    <w:panose1 w:val="00000000000000000000"/>
    <w:charset w:val="00"/>
    <w:family w:val="auto"/>
    <w:pitch w:val="default"/>
    <w:sig w:usb0="00000000" w:usb1="00000000" w:usb2="00000000" w:usb3="00000000" w:csb0="00000000" w:csb1="00000000"/>
  </w:font>
  <w:font w:name="ˎ̥">
    <w:altName w:val="SF Automaton Extended"/>
    <w:panose1 w:val="00000000000000000000"/>
    <w:charset w:val="00"/>
    <w:family w:val="auto"/>
    <w:pitch w:val="default"/>
    <w:sig w:usb0="00000000" w:usb1="00000000" w:usb2="00000000" w:usb3="00000000" w:csb0="00000000" w:csb1="00000000"/>
  </w:font>
  <w:font w:name="+中文正文">
    <w:altName w:val="SF Automaton Extended"/>
    <w:panose1 w:val="00000000000000000000"/>
    <w:charset w:val="00"/>
    <w:family w:val="auto"/>
    <w:pitch w:val="default"/>
    <w:sig w:usb0="00000000" w:usb1="00000000" w:usb2="00000000" w:usb3="00000000" w:csb0="00000000" w:csb1="00000000"/>
  </w:font>
  <w:font w:name="+西文正文">
    <w:altName w:val="SF Automaton Extended"/>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baikeFont_layout">
    <w:altName w:val="SF Automaton Extended"/>
    <w:panose1 w:val="00000000000000000000"/>
    <w:charset w:val="00"/>
    <w:family w:val="auto"/>
    <w:pitch w:val="default"/>
    <w:sig w:usb0="00000000" w:usb1="00000000" w:usb2="00000000" w:usb3="00000000" w:csb0="00000000" w:csb1="00000000"/>
  </w:font>
  <w:font w:name="baikeFont_css">
    <w:altName w:val="SF Automaton Extended"/>
    <w:panose1 w:val="00000000000000000000"/>
    <w:charset w:val="00"/>
    <w:family w:val="auto"/>
    <w:pitch w:val="default"/>
    <w:sig w:usb0="00000000" w:usb1="00000000" w:usb2="00000000" w:usb3="00000000" w:csb0="00000000" w:csb1="00000000"/>
  </w:font>
  <w:font w:name="monospace">
    <w:altName w:val="SF Automaton Extended"/>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 w:name="宋体 ! important">
    <w:altName w:val="宋体"/>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960E9"/>
    <w:rsid w:val="02622662"/>
    <w:rsid w:val="03A7692F"/>
    <w:rsid w:val="060149B4"/>
    <w:rsid w:val="06273D2F"/>
    <w:rsid w:val="066B5EED"/>
    <w:rsid w:val="068A3601"/>
    <w:rsid w:val="06B632D7"/>
    <w:rsid w:val="07D36BE9"/>
    <w:rsid w:val="0826101C"/>
    <w:rsid w:val="083246F7"/>
    <w:rsid w:val="083B2E68"/>
    <w:rsid w:val="08673D2A"/>
    <w:rsid w:val="0BFA61F5"/>
    <w:rsid w:val="0D870310"/>
    <w:rsid w:val="0F1B0E78"/>
    <w:rsid w:val="1008466C"/>
    <w:rsid w:val="14F977EC"/>
    <w:rsid w:val="15042A0E"/>
    <w:rsid w:val="16CE6E38"/>
    <w:rsid w:val="172E5427"/>
    <w:rsid w:val="17EE545F"/>
    <w:rsid w:val="184009FC"/>
    <w:rsid w:val="19404731"/>
    <w:rsid w:val="19453DBA"/>
    <w:rsid w:val="198860F9"/>
    <w:rsid w:val="1A270633"/>
    <w:rsid w:val="1AFF5544"/>
    <w:rsid w:val="1B0A3499"/>
    <w:rsid w:val="1C5F6E80"/>
    <w:rsid w:val="1C88487D"/>
    <w:rsid w:val="1DE97C45"/>
    <w:rsid w:val="20141C0E"/>
    <w:rsid w:val="208E165E"/>
    <w:rsid w:val="2182268D"/>
    <w:rsid w:val="22EB08F5"/>
    <w:rsid w:val="24EC5364"/>
    <w:rsid w:val="2513233F"/>
    <w:rsid w:val="251865EA"/>
    <w:rsid w:val="25426E76"/>
    <w:rsid w:val="25917D75"/>
    <w:rsid w:val="26CF63DE"/>
    <w:rsid w:val="275012D1"/>
    <w:rsid w:val="2806202D"/>
    <w:rsid w:val="28461F24"/>
    <w:rsid w:val="284E6B1C"/>
    <w:rsid w:val="291B0AEA"/>
    <w:rsid w:val="2A572873"/>
    <w:rsid w:val="2B893091"/>
    <w:rsid w:val="2C9A628A"/>
    <w:rsid w:val="2CD17B17"/>
    <w:rsid w:val="2D23250E"/>
    <w:rsid w:val="2E287751"/>
    <w:rsid w:val="2F030164"/>
    <w:rsid w:val="2F1C7246"/>
    <w:rsid w:val="305C3937"/>
    <w:rsid w:val="30CD5A85"/>
    <w:rsid w:val="343A33DF"/>
    <w:rsid w:val="349458E8"/>
    <w:rsid w:val="34D57524"/>
    <w:rsid w:val="3587093A"/>
    <w:rsid w:val="36EA50A7"/>
    <w:rsid w:val="3774779F"/>
    <w:rsid w:val="37C1347B"/>
    <w:rsid w:val="39E113F5"/>
    <w:rsid w:val="3B2F6EF7"/>
    <w:rsid w:val="3B3C4D54"/>
    <w:rsid w:val="3C5A4930"/>
    <w:rsid w:val="3CC676CC"/>
    <w:rsid w:val="3CDF67F3"/>
    <w:rsid w:val="3D8E7553"/>
    <w:rsid w:val="3D961312"/>
    <w:rsid w:val="3D9A530C"/>
    <w:rsid w:val="3DEE1FA1"/>
    <w:rsid w:val="3E704349"/>
    <w:rsid w:val="41193F13"/>
    <w:rsid w:val="41375682"/>
    <w:rsid w:val="41F439C1"/>
    <w:rsid w:val="43F634B0"/>
    <w:rsid w:val="49DE71FB"/>
    <w:rsid w:val="4B4F1F4F"/>
    <w:rsid w:val="4B625615"/>
    <w:rsid w:val="4C6B7238"/>
    <w:rsid w:val="4C710BC2"/>
    <w:rsid w:val="4D6C2539"/>
    <w:rsid w:val="4D765109"/>
    <w:rsid w:val="4E203123"/>
    <w:rsid w:val="4EFF5BB2"/>
    <w:rsid w:val="4FC72369"/>
    <w:rsid w:val="50C470CF"/>
    <w:rsid w:val="50CD5DC9"/>
    <w:rsid w:val="52AE776A"/>
    <w:rsid w:val="537E7798"/>
    <w:rsid w:val="552A4C57"/>
    <w:rsid w:val="563D0E89"/>
    <w:rsid w:val="56655F3F"/>
    <w:rsid w:val="56E74B5E"/>
    <w:rsid w:val="572040A1"/>
    <w:rsid w:val="575C6B12"/>
    <w:rsid w:val="576042C8"/>
    <w:rsid w:val="57EF46A5"/>
    <w:rsid w:val="587963E1"/>
    <w:rsid w:val="589565A0"/>
    <w:rsid w:val="59562BE0"/>
    <w:rsid w:val="5A193241"/>
    <w:rsid w:val="5A7A6D1A"/>
    <w:rsid w:val="5C8D1411"/>
    <w:rsid w:val="5CEA6EFD"/>
    <w:rsid w:val="5F8B1806"/>
    <w:rsid w:val="5FFD6D65"/>
    <w:rsid w:val="60414662"/>
    <w:rsid w:val="6080698E"/>
    <w:rsid w:val="60B35BAB"/>
    <w:rsid w:val="62D97CAF"/>
    <w:rsid w:val="63281C26"/>
    <w:rsid w:val="64013AF7"/>
    <w:rsid w:val="6554162F"/>
    <w:rsid w:val="656E2D54"/>
    <w:rsid w:val="65A31D7F"/>
    <w:rsid w:val="67BE04D9"/>
    <w:rsid w:val="67D62707"/>
    <w:rsid w:val="67DC3838"/>
    <w:rsid w:val="699F479A"/>
    <w:rsid w:val="69D8791C"/>
    <w:rsid w:val="6AD45200"/>
    <w:rsid w:val="6BA72C63"/>
    <w:rsid w:val="6BEA2F00"/>
    <w:rsid w:val="6C7675A4"/>
    <w:rsid w:val="6D9E4776"/>
    <w:rsid w:val="70283050"/>
    <w:rsid w:val="70590348"/>
    <w:rsid w:val="71527E7A"/>
    <w:rsid w:val="71A242AF"/>
    <w:rsid w:val="72F907FB"/>
    <w:rsid w:val="730533FF"/>
    <w:rsid w:val="749311F6"/>
    <w:rsid w:val="7584598A"/>
    <w:rsid w:val="78632FA7"/>
    <w:rsid w:val="78DE1F91"/>
    <w:rsid w:val="79EA7CFD"/>
    <w:rsid w:val="7A243901"/>
    <w:rsid w:val="7C3A01FC"/>
    <w:rsid w:val="7E114424"/>
    <w:rsid w:val="7E386B8A"/>
    <w:rsid w:val="7F481A79"/>
    <w:rsid w:val="7FBB0C4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100" w:beforeAutospacing="1"/>
      <w:ind w:leftChars="0" w:firstLine="420" w:firstLineChars="200"/>
      <w:jc w:val="both"/>
    </w:pPr>
    <w:rPr>
      <w:rFonts w:eastAsia="宋体" w:asciiTheme="minorAscii" w:hAnsiTheme="minorAscii"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44"/>
      <w:sz w:val="24"/>
      <w:szCs w:val="24"/>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FollowedHyperlink"/>
    <w:basedOn w:val="7"/>
    <w:qFormat/>
    <w:uiPriority w:val="0"/>
    <w:rPr>
      <w:color w:val="607FA6"/>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607FA6"/>
      <w:u w:val="none"/>
    </w:rPr>
  </w:style>
  <w:style w:type="character" w:styleId="15">
    <w:name w:val="HTML Code"/>
    <w:basedOn w:val="7"/>
    <w:qFormat/>
    <w:uiPriority w:val="0"/>
    <w:rPr>
      <w:rFonts w:ascii="Menlo" w:hAnsi="Menlo" w:eastAsia="Menlo" w:cs="Menlo"/>
      <w:color w:val="C7254E"/>
      <w:sz w:val="21"/>
      <w:szCs w:val="21"/>
      <w:shd w:val="clear" w:fill="F9F2F4"/>
    </w:rPr>
  </w:style>
  <w:style w:type="character" w:styleId="16">
    <w:name w:val="HTML Cite"/>
    <w:basedOn w:val="7"/>
    <w:qFormat/>
    <w:uiPriority w:val="0"/>
  </w:style>
  <w:style w:type="character" w:styleId="17">
    <w:name w:val="HTML Keyboard"/>
    <w:basedOn w:val="7"/>
    <w:qFormat/>
    <w:uiPriority w:val="0"/>
    <w:rPr>
      <w:rFonts w:hint="default" w:ascii="Menlo" w:hAnsi="Menlo" w:eastAsia="Menlo" w:cs="Menlo"/>
      <w:color w:val="FFFFFF"/>
      <w:sz w:val="21"/>
      <w:szCs w:val="21"/>
      <w:shd w:val="clear" w:fill="333333"/>
    </w:rPr>
  </w:style>
  <w:style w:type="character" w:styleId="18">
    <w:name w:val="HTML Sample"/>
    <w:basedOn w:val="7"/>
    <w:qFormat/>
    <w:uiPriority w:val="0"/>
    <w:rPr>
      <w:rFonts w:hint="default" w:ascii="Menlo" w:hAnsi="Menlo" w:eastAsia="Menlo" w:cs="Menlo"/>
      <w:sz w:val="21"/>
      <w:szCs w:val="21"/>
    </w:rPr>
  </w:style>
  <w:style w:type="paragraph" w:customStyle="1" w:styleId="20">
    <w:name w:val="样式1"/>
    <w:basedOn w:val="1"/>
    <w:qFormat/>
    <w:uiPriority w:val="0"/>
    <w:pPr>
      <w:spacing w:before="120" w:beforeAutospacing="0"/>
      <w:ind w:firstLine="420" w:firstLineChars="200"/>
    </w:pPr>
  </w:style>
  <w:style w:type="character" w:customStyle="1" w:styleId="21">
    <w:name w:val="css_blue1"/>
    <w:basedOn w:val="7"/>
    <w:qFormat/>
    <w:uiPriority w:val="0"/>
    <w:rPr>
      <w:color w:val="4A81A8"/>
      <w:sz w:val="21"/>
      <w:szCs w:val="21"/>
    </w:rPr>
  </w:style>
  <w:style w:type="character" w:customStyle="1" w:styleId="22">
    <w:name w:val="rich_media_meta_nickname"/>
    <w:basedOn w:val="7"/>
    <w:qFormat/>
    <w:uiPriority w:val="0"/>
    <w:rPr>
      <w:vanish/>
    </w:rPr>
  </w:style>
  <w:style w:type="character" w:customStyle="1" w:styleId="23">
    <w:name w:val="rich_media_meta_nickname1"/>
    <w:basedOn w:val="7"/>
    <w:qFormat/>
    <w:uiPriority w:val="0"/>
  </w:style>
  <w:style w:type="character" w:customStyle="1" w:styleId="24">
    <w:name w:val="tz_input"/>
    <w:basedOn w:val="7"/>
    <w:qFormat/>
    <w:uiPriority w:val="0"/>
    <w:rPr>
      <w:color w:val="A01211"/>
      <w:sz w:val="24"/>
      <w:szCs w:val="24"/>
    </w:rPr>
  </w:style>
  <w:style w:type="character" w:customStyle="1" w:styleId="25">
    <w:name w:val="bg01"/>
    <w:basedOn w:val="7"/>
    <w:qFormat/>
    <w:uiPriority w:val="0"/>
  </w:style>
  <w:style w:type="character" w:customStyle="1" w:styleId="26">
    <w:name w:val="m01"/>
    <w:basedOn w:val="7"/>
    <w:qFormat/>
    <w:uiPriority w:val="0"/>
  </w:style>
  <w:style w:type="character" w:customStyle="1" w:styleId="27">
    <w:name w:val="m011"/>
    <w:basedOn w:val="7"/>
    <w:qFormat/>
    <w:uiPriority w:val="0"/>
  </w:style>
  <w:style w:type="character" w:customStyle="1" w:styleId="28">
    <w:name w:val="font"/>
    <w:basedOn w:val="7"/>
    <w:qFormat/>
    <w:uiPriority w:val="0"/>
  </w:style>
  <w:style w:type="character" w:customStyle="1" w:styleId="29">
    <w:name w:val="font1"/>
    <w:basedOn w:val="7"/>
    <w:qFormat/>
    <w:uiPriority w:val="0"/>
  </w:style>
  <w:style w:type="character" w:customStyle="1" w:styleId="30">
    <w:name w:val="bg02"/>
    <w:basedOn w:val="7"/>
    <w:qFormat/>
    <w:uiPriority w:val="0"/>
  </w:style>
  <w:style w:type="character" w:customStyle="1" w:styleId="31">
    <w:name w:val="tabg"/>
    <w:basedOn w:val="7"/>
    <w:qFormat/>
    <w:uiPriority w:val="0"/>
    <w:rPr>
      <w:color w:val="FFFFFF"/>
      <w:sz w:val="27"/>
      <w:szCs w:val="27"/>
    </w:rPr>
  </w:style>
  <w:style w:type="character" w:customStyle="1" w:styleId="32">
    <w:name w:val="more4"/>
    <w:basedOn w:val="7"/>
    <w:qFormat/>
    <w:uiPriority w:val="0"/>
    <w:rPr>
      <w:color w:val="666666"/>
      <w:sz w:val="18"/>
      <w:szCs w:val="18"/>
    </w:rPr>
  </w:style>
  <w:style w:type="character" w:customStyle="1" w:styleId="33">
    <w:name w:val="gwds_nopic"/>
    <w:basedOn w:val="7"/>
    <w:qFormat/>
    <w:uiPriority w:val="0"/>
  </w:style>
  <w:style w:type="character" w:customStyle="1" w:styleId="34">
    <w:name w:val="gwds_nopic1"/>
    <w:basedOn w:val="7"/>
    <w:qFormat/>
    <w:uiPriority w:val="0"/>
  </w:style>
  <w:style w:type="character" w:customStyle="1" w:styleId="35">
    <w:name w:val="gwds_nopic2"/>
    <w:basedOn w:val="7"/>
    <w:qFormat/>
    <w:uiPriority w:val="0"/>
  </w:style>
  <w:style w:type="character" w:customStyle="1" w:styleId="36">
    <w:name w:val="bds_more4"/>
    <w:basedOn w:val="7"/>
    <w:qFormat/>
    <w:uiPriority w:val="0"/>
  </w:style>
  <w:style w:type="character" w:customStyle="1" w:styleId="37">
    <w:name w:val="bds_nopic"/>
    <w:basedOn w:val="7"/>
    <w:qFormat/>
    <w:uiPriority w:val="0"/>
  </w:style>
  <w:style w:type="character" w:customStyle="1" w:styleId="38">
    <w:name w:val="bds_nopic1"/>
    <w:basedOn w:val="7"/>
    <w:qFormat/>
    <w:uiPriority w:val="0"/>
  </w:style>
  <w:style w:type="character" w:customStyle="1" w:styleId="39">
    <w:name w:val="bds_nopic2"/>
    <w:basedOn w:val="7"/>
    <w:qFormat/>
    <w:uiPriority w:val="0"/>
  </w:style>
  <w:style w:type="character" w:customStyle="1" w:styleId="40">
    <w:name w:val="bds_more3"/>
    <w:basedOn w:val="7"/>
    <w:qFormat/>
    <w:uiPriority w:val="0"/>
    <w:rPr>
      <w:rFonts w:hint="eastAsia" w:ascii="宋体" w:hAnsi="宋体" w:eastAsia="宋体" w:cs="宋体"/>
    </w:rPr>
  </w:style>
  <w:style w:type="character" w:customStyle="1" w:styleId="41">
    <w:name w:val="bds_more5"/>
    <w:basedOn w:val="7"/>
    <w:qFormat/>
    <w:uiPriority w:val="0"/>
  </w:style>
  <w:style w:type="character" w:customStyle="1" w:styleId="42">
    <w:name w:val="on"/>
    <w:basedOn w:val="7"/>
    <w:qFormat/>
    <w:uiPriority w:val="0"/>
    <w:rPr>
      <w:color w:val="FFFFFF"/>
    </w:rPr>
  </w:style>
  <w:style w:type="character" w:customStyle="1" w:styleId="43">
    <w:name w:val="cur"/>
    <w:basedOn w:val="7"/>
    <w:qFormat/>
    <w:uiPriority w:val="0"/>
    <w:rPr>
      <w:b/>
    </w:rPr>
  </w:style>
  <w:style w:type="character" w:customStyle="1" w:styleId="44">
    <w:name w:val="cur1"/>
    <w:basedOn w:val="7"/>
    <w:qFormat/>
    <w:uiPriority w:val="0"/>
    <w:rPr>
      <w:b/>
    </w:rPr>
  </w:style>
  <w:style w:type="character" w:customStyle="1" w:styleId="45">
    <w:name w:val="cur2"/>
    <w:basedOn w:val="7"/>
    <w:qFormat/>
    <w:uiPriority w:val="0"/>
    <w:rPr>
      <w:shd w:val="clear" w:fill="FF0000"/>
    </w:rPr>
  </w:style>
  <w:style w:type="character" w:customStyle="1" w:styleId="46">
    <w:name w:val="normal"/>
    <w:basedOn w:val="7"/>
    <w:qFormat/>
    <w:uiPriority w:val="0"/>
    <w:rPr>
      <w:color w:val="FFFFFF"/>
    </w:rPr>
  </w:style>
  <w:style w:type="character" w:customStyle="1" w:styleId="47">
    <w:name w:val="normal1"/>
    <w:basedOn w:val="7"/>
    <w:qFormat/>
    <w:uiPriority w:val="0"/>
    <w:rPr>
      <w:color w:val="FFFFFF"/>
    </w:rPr>
  </w:style>
  <w:style w:type="character" w:customStyle="1" w:styleId="48">
    <w:name w:val="normal2"/>
    <w:basedOn w:val="7"/>
    <w:qFormat/>
    <w:uiPriority w:val="0"/>
    <w:rPr>
      <w:color w:val="000000"/>
    </w:rPr>
  </w:style>
  <w:style w:type="character" w:customStyle="1" w:styleId="49">
    <w:name w:val="more"/>
    <w:basedOn w:val="7"/>
    <w:qFormat/>
    <w:uiPriority w:val="0"/>
    <w:rPr>
      <w:color w:val="666666"/>
      <w:sz w:val="18"/>
      <w:szCs w:val="18"/>
    </w:rPr>
  </w:style>
  <w:style w:type="character" w:customStyle="1" w:styleId="50">
    <w:name w:val="tn-zhishi"/>
    <w:basedOn w:val="7"/>
    <w:qFormat/>
    <w:uiPriority w:val="0"/>
    <w:rPr>
      <w:shd w:val="clear" w:fill="8B6124"/>
    </w:rPr>
  </w:style>
  <w:style w:type="character" w:customStyle="1" w:styleId="51">
    <w:name w:val="hover57"/>
    <w:basedOn w:val="7"/>
    <w:qFormat/>
    <w:uiPriority w:val="0"/>
    <w:rPr>
      <w:shd w:val="clear" w:fill="F3F3F3"/>
    </w:rPr>
  </w:style>
  <w:style w:type="character" w:customStyle="1" w:styleId="52">
    <w:name w:val="hover58"/>
    <w:basedOn w:val="7"/>
    <w:qFormat/>
    <w:uiPriority w:val="0"/>
    <w:rPr>
      <w:shd w:val="clear" w:fill="F3F3F3"/>
    </w:rPr>
  </w:style>
  <w:style w:type="character" w:customStyle="1" w:styleId="53">
    <w:name w:val="hover59"/>
    <w:basedOn w:val="7"/>
    <w:qFormat/>
    <w:uiPriority w:val="0"/>
    <w:rPr>
      <w:shd w:val="clear" w:fill="F3F3F3"/>
    </w:rPr>
  </w:style>
  <w:style w:type="character" w:customStyle="1" w:styleId="54">
    <w:name w:val="hover60"/>
    <w:basedOn w:val="7"/>
    <w:qFormat/>
    <w:uiPriority w:val="0"/>
    <w:rPr>
      <w:shd w:val="clear" w:fill="F3F3F3"/>
    </w:rPr>
  </w:style>
  <w:style w:type="character" w:customStyle="1" w:styleId="55">
    <w:name w:val="tn-fuwu"/>
    <w:basedOn w:val="7"/>
    <w:qFormat/>
    <w:uiPriority w:val="0"/>
    <w:rPr>
      <w:shd w:val="clear" w:fill="DA5026"/>
    </w:rPr>
  </w:style>
  <w:style w:type="character" w:customStyle="1" w:styleId="56">
    <w:name w:val="tn-jingpin"/>
    <w:basedOn w:val="7"/>
    <w:qFormat/>
    <w:uiPriority w:val="0"/>
    <w:rPr>
      <w:shd w:val="clear" w:fill="1D79B7"/>
    </w:rPr>
  </w:style>
  <w:style w:type="character" w:customStyle="1" w:styleId="57">
    <w:name w:val="tn-diqu"/>
    <w:basedOn w:val="7"/>
    <w:qFormat/>
    <w:uiPriority w:val="0"/>
    <w:rPr>
      <w:shd w:val="clear" w:fill="669330"/>
    </w:rPr>
  </w:style>
  <w:style w:type="character" w:customStyle="1" w:styleId="58">
    <w:name w:val="bds_more"/>
    <w:basedOn w:val="7"/>
    <w:qFormat/>
    <w:uiPriority w:val="0"/>
    <w:rPr>
      <w:rFonts w:hint="eastAsia" w:ascii="宋体" w:hAnsi="宋体" w:eastAsia="宋体" w:cs="宋体"/>
    </w:rPr>
  </w:style>
  <w:style w:type="character" w:customStyle="1" w:styleId="59">
    <w:name w:val="bds_more1"/>
    <w:basedOn w:val="7"/>
    <w:qFormat/>
    <w:uiPriority w:val="0"/>
  </w:style>
  <w:style w:type="character" w:customStyle="1" w:styleId="60">
    <w:name w:val="bds_more2"/>
    <w:basedOn w:val="7"/>
    <w:qFormat/>
    <w:uiPriority w:val="0"/>
  </w:style>
  <w:style w:type="paragraph" w:customStyle="1" w:styleId="61">
    <w:name w:val="pbj"/>
    <w:basedOn w:val="1"/>
    <w:qFormat/>
    <w:uiPriority w:val="0"/>
    <w:pPr>
      <w:jc w:val="left"/>
    </w:pPr>
    <w:rPr>
      <w:kern w:val="0"/>
      <w:lang w:val="en-US" w:eastAsia="zh-CN" w:bidi="ar"/>
    </w:rPr>
  </w:style>
  <w:style w:type="character" w:customStyle="1" w:styleId="62">
    <w:name w:val="time"/>
    <w:basedOn w:val="7"/>
    <w:qFormat/>
    <w:uiPriority w:val="0"/>
    <w:rPr>
      <w:color w:val="777777"/>
    </w:rPr>
  </w:style>
  <w:style w:type="character" w:customStyle="1" w:styleId="63">
    <w:name w:val="onselect"/>
    <w:basedOn w:val="7"/>
    <w:qFormat/>
    <w:uiPriority w:val="0"/>
    <w:rPr>
      <w:shd w:val="clear" w:fill="FF0000"/>
    </w:rPr>
  </w:style>
  <w:style w:type="character" w:customStyle="1" w:styleId="64">
    <w:name w:val="hover17"/>
    <w:basedOn w:val="7"/>
    <w:qFormat/>
    <w:uiPriority w:val="0"/>
    <w:rPr>
      <w:color w:val="FFFFFF"/>
      <w:shd w:val="clear" w:fill="F9AC00"/>
    </w:rPr>
  </w:style>
  <w:style w:type="character" w:customStyle="1" w:styleId="65">
    <w:name w:val="keyword"/>
    <w:basedOn w:val="7"/>
    <w:qFormat/>
    <w:uiPriority w:val="0"/>
    <w:rPr>
      <w:color w:val="FF0000"/>
    </w:rPr>
  </w:style>
  <w:style w:type="character" w:customStyle="1" w:styleId="66">
    <w:name w:val="more-zereo"/>
    <w:basedOn w:val="7"/>
    <w:qFormat/>
    <w:uiPriority w:val="0"/>
    <w:rPr>
      <w:color w:val="EB0F0A"/>
    </w:rPr>
  </w:style>
  <w:style w:type="character" w:customStyle="1" w:styleId="67">
    <w:name w:val="hover14"/>
    <w:basedOn w:val="7"/>
    <w:qFormat/>
    <w:uiPriority w:val="0"/>
    <w:rPr>
      <w:color w:val="FFFFFF"/>
      <w:shd w:val="clear" w:fill="F9AC00"/>
    </w:rPr>
  </w:style>
  <w:style w:type="paragraph" w:customStyle="1" w:styleId="68">
    <w:name w:val="_Style 67"/>
    <w:basedOn w:val="1"/>
    <w:next w:val="1"/>
    <w:qFormat/>
    <w:uiPriority w:val="0"/>
    <w:pPr>
      <w:pBdr>
        <w:bottom w:val="single" w:color="auto" w:sz="6" w:space="1"/>
      </w:pBdr>
      <w:jc w:val="center"/>
    </w:pPr>
    <w:rPr>
      <w:rFonts w:ascii="Arial" w:eastAsia="宋体"/>
      <w:vanish/>
      <w:sz w:val="16"/>
    </w:rPr>
  </w:style>
  <w:style w:type="paragraph" w:customStyle="1" w:styleId="69">
    <w:name w:val="_Style 68"/>
    <w:basedOn w:val="1"/>
    <w:next w:val="1"/>
    <w:qFormat/>
    <w:uiPriority w:val="0"/>
    <w:pPr>
      <w:pBdr>
        <w:top w:val="single" w:color="auto" w:sz="6" w:space="1"/>
      </w:pBdr>
      <w:jc w:val="center"/>
    </w:pPr>
    <w:rPr>
      <w:rFonts w:ascii="Arial" w:eastAsia="宋体"/>
      <w:vanish/>
      <w:sz w:val="16"/>
    </w:rPr>
  </w:style>
  <w:style w:type="character" w:customStyle="1" w:styleId="70">
    <w:name w:val="name27"/>
    <w:basedOn w:val="7"/>
    <w:qFormat/>
    <w:uiPriority w:val="0"/>
    <w:rPr>
      <w:rFonts w:ascii="微软雅黑" w:hAnsi="微软雅黑" w:eastAsia="微软雅黑" w:cs="微软雅黑"/>
      <w:color w:val="F96300"/>
      <w:sz w:val="27"/>
      <w:szCs w:val="27"/>
    </w:rPr>
  </w:style>
  <w:style w:type="character" w:customStyle="1" w:styleId="71">
    <w:name w:val="info31"/>
    <w:basedOn w:val="7"/>
    <w:qFormat/>
    <w:uiPriority w:val="0"/>
    <w:rPr>
      <w:rFonts w:hint="eastAsia" w:ascii="宋体" w:hAnsi="宋体" w:eastAsia="宋体" w:cs="宋体"/>
      <w:color w:val="004B80"/>
      <w:sz w:val="21"/>
      <w:szCs w:val="21"/>
    </w:rPr>
  </w:style>
  <w:style w:type="character" w:customStyle="1" w:styleId="72">
    <w:name w:val="lan"/>
    <w:basedOn w:val="7"/>
    <w:qFormat/>
    <w:uiPriority w:val="0"/>
    <w:rPr>
      <w:strike/>
    </w:rPr>
  </w:style>
  <w:style w:type="character" w:customStyle="1" w:styleId="73">
    <w:name w:val="first-child"/>
    <w:basedOn w:val="7"/>
    <w:qFormat/>
    <w:uiPriority w:val="0"/>
  </w:style>
  <w:style w:type="character" w:customStyle="1" w:styleId="74">
    <w:name w:val="first-child1"/>
    <w:basedOn w:val="7"/>
    <w:qFormat/>
    <w:uiPriority w:val="0"/>
    <w:rPr>
      <w:bdr w:val="single" w:color="E4E3E3" w:sz="6" w:space="0"/>
    </w:rPr>
  </w:style>
  <w:style w:type="character" w:customStyle="1" w:styleId="75">
    <w:name w:val="first-child2"/>
    <w:basedOn w:val="7"/>
    <w:qFormat/>
    <w:uiPriority w:val="0"/>
    <w:rPr>
      <w:b/>
      <w:color w:val="DE5833"/>
      <w:sz w:val="21"/>
      <w:szCs w:val="21"/>
    </w:rPr>
  </w:style>
  <w:style w:type="character" w:customStyle="1" w:styleId="76">
    <w:name w:val="first-child3"/>
    <w:basedOn w:val="7"/>
    <w:qFormat/>
    <w:uiPriority w:val="0"/>
  </w:style>
  <w:style w:type="character" w:customStyle="1" w:styleId="77">
    <w:name w:val="first-child4"/>
    <w:basedOn w:val="7"/>
    <w:qFormat/>
    <w:uiPriority w:val="0"/>
  </w:style>
  <w:style w:type="character" w:customStyle="1" w:styleId="78">
    <w:name w:val="first-child5"/>
    <w:basedOn w:val="7"/>
    <w:qFormat/>
    <w:uiPriority w:val="0"/>
    <w:rPr>
      <w:bdr w:val="single" w:color="E4E3E3" w:sz="6" w:space="0"/>
    </w:rPr>
  </w:style>
  <w:style w:type="character" w:customStyle="1" w:styleId="79">
    <w:name w:val="first-child6"/>
    <w:basedOn w:val="7"/>
    <w:qFormat/>
    <w:uiPriority w:val="0"/>
  </w:style>
  <w:style w:type="character" w:customStyle="1" w:styleId="80">
    <w:name w:val="first-child7"/>
    <w:basedOn w:val="7"/>
    <w:qFormat/>
    <w:uiPriority w:val="0"/>
    <w:rPr>
      <w:bdr w:val="single" w:color="E4E3E3" w:sz="6" w:space="0"/>
    </w:rPr>
  </w:style>
  <w:style w:type="character" w:customStyle="1" w:styleId="81">
    <w:name w:val="first-child8"/>
    <w:basedOn w:val="7"/>
    <w:qFormat/>
    <w:uiPriority w:val="0"/>
  </w:style>
  <w:style w:type="character" w:customStyle="1" w:styleId="82">
    <w:name w:val="first-child9"/>
    <w:basedOn w:val="7"/>
    <w:qFormat/>
    <w:uiPriority w:val="0"/>
  </w:style>
  <w:style w:type="character" w:customStyle="1" w:styleId="83">
    <w:name w:val="active28"/>
    <w:basedOn w:val="7"/>
    <w:qFormat/>
    <w:uiPriority w:val="0"/>
    <w:rPr>
      <w:color w:val="FF6000"/>
    </w:rPr>
  </w:style>
  <w:style w:type="character" w:customStyle="1" w:styleId="84">
    <w:name w:val="active29"/>
    <w:basedOn w:val="7"/>
    <w:qFormat/>
    <w:uiPriority w:val="0"/>
    <w:rPr>
      <w:color w:val="FFFFFF"/>
      <w:shd w:val="clear" w:fill="006BB6"/>
    </w:rPr>
  </w:style>
  <w:style w:type="character" w:customStyle="1" w:styleId="85">
    <w:name w:val="active30"/>
    <w:basedOn w:val="7"/>
    <w:qFormat/>
    <w:uiPriority w:val="0"/>
    <w:rPr>
      <w:bdr w:val="single" w:color="EB5800" w:sz="6" w:space="0"/>
    </w:rPr>
  </w:style>
  <w:style w:type="character" w:customStyle="1" w:styleId="86">
    <w:name w:val="active31"/>
    <w:basedOn w:val="7"/>
    <w:qFormat/>
    <w:uiPriority w:val="0"/>
    <w:rPr>
      <w:color w:val="006BB6"/>
    </w:rPr>
  </w:style>
  <w:style w:type="character" w:customStyle="1" w:styleId="87">
    <w:name w:val="active32"/>
    <w:basedOn w:val="7"/>
    <w:qFormat/>
    <w:uiPriority w:val="0"/>
    <w:rPr>
      <w:bdr w:val="single" w:color="B6D3F1" w:sz="6" w:space="0"/>
      <w:shd w:val="clear" w:fill="FFFFFF"/>
    </w:rPr>
  </w:style>
  <w:style w:type="character" w:customStyle="1" w:styleId="88">
    <w:name w:val="active33"/>
    <w:basedOn w:val="7"/>
    <w:uiPriority w:val="0"/>
    <w:rPr>
      <w:color w:val="EB5800"/>
    </w:rPr>
  </w:style>
  <w:style w:type="character" w:customStyle="1" w:styleId="89">
    <w:name w:val="active34"/>
    <w:basedOn w:val="7"/>
    <w:uiPriority w:val="0"/>
  </w:style>
  <w:style w:type="character" w:customStyle="1" w:styleId="90">
    <w:name w:val="active35"/>
    <w:basedOn w:val="7"/>
    <w:uiPriority w:val="0"/>
    <w:rPr>
      <w:shd w:val="clear" w:fill="FFFFFF"/>
    </w:rPr>
  </w:style>
  <w:style w:type="character" w:customStyle="1" w:styleId="91">
    <w:name w:val="active36"/>
    <w:basedOn w:val="7"/>
    <w:qFormat/>
    <w:uiPriority w:val="0"/>
    <w:rPr>
      <w:color w:val="FFFFFF"/>
      <w:shd w:val="clear" w:fill="FF6000"/>
    </w:rPr>
  </w:style>
  <w:style w:type="character" w:customStyle="1" w:styleId="92">
    <w:name w:val="active37"/>
    <w:basedOn w:val="7"/>
    <w:qFormat/>
    <w:uiPriority w:val="0"/>
    <w:rPr>
      <w:color w:val="FF0000"/>
    </w:rPr>
  </w:style>
  <w:style w:type="character" w:customStyle="1" w:styleId="93">
    <w:name w:val="last-child"/>
    <w:basedOn w:val="7"/>
    <w:qFormat/>
    <w:uiPriority w:val="0"/>
  </w:style>
  <w:style w:type="character" w:customStyle="1" w:styleId="94">
    <w:name w:val="hover72"/>
    <w:basedOn w:val="7"/>
    <w:qFormat/>
    <w:uiPriority w:val="0"/>
    <w:rPr>
      <w:color w:val="006BB6"/>
    </w:rPr>
  </w:style>
  <w:style w:type="character" w:customStyle="1" w:styleId="95">
    <w:name w:val="hover73"/>
    <w:basedOn w:val="7"/>
    <w:qFormat/>
    <w:uiPriority w:val="0"/>
    <w:rPr>
      <w:color w:val="EB0100"/>
    </w:rPr>
  </w:style>
  <w:style w:type="character" w:customStyle="1" w:styleId="96">
    <w:name w:val="hover74"/>
    <w:basedOn w:val="7"/>
    <w:qFormat/>
    <w:uiPriority w:val="0"/>
    <w:rPr>
      <w:color w:val="484848"/>
      <w:shd w:val="clear" w:fill="EEFAFF"/>
    </w:rPr>
  </w:style>
  <w:style w:type="character" w:customStyle="1" w:styleId="97">
    <w:name w:val="hover75"/>
    <w:basedOn w:val="7"/>
    <w:qFormat/>
    <w:uiPriority w:val="0"/>
    <w:rPr>
      <w:color w:val="FFFFFF"/>
      <w:shd w:val="clear" w:fill="016BB9"/>
    </w:rPr>
  </w:style>
  <w:style w:type="character" w:customStyle="1" w:styleId="98">
    <w:name w:val="hover76"/>
    <w:basedOn w:val="7"/>
    <w:qFormat/>
    <w:uiPriority w:val="0"/>
    <w:rPr>
      <w:color w:val="006BB6"/>
    </w:rPr>
  </w:style>
  <w:style w:type="character" w:customStyle="1" w:styleId="99">
    <w:name w:val="hover77"/>
    <w:basedOn w:val="7"/>
    <w:uiPriority w:val="0"/>
    <w:rPr>
      <w:color w:val="333333"/>
      <w:shd w:val="clear" w:fill="FFFFFF"/>
    </w:rPr>
  </w:style>
  <w:style w:type="character" w:customStyle="1" w:styleId="100">
    <w:name w:val="hover78"/>
    <w:basedOn w:val="7"/>
    <w:qFormat/>
    <w:uiPriority w:val="0"/>
    <w:rPr>
      <w:color w:val="FFFFFF"/>
      <w:shd w:val="clear" w:fill="016BB9"/>
    </w:rPr>
  </w:style>
  <w:style w:type="character" w:customStyle="1" w:styleId="101">
    <w:name w:val="hover79"/>
    <w:basedOn w:val="7"/>
    <w:qFormat/>
    <w:uiPriority w:val="0"/>
    <w:rPr>
      <w:shd w:val="clear" w:fill="FF6600"/>
    </w:rPr>
  </w:style>
  <w:style w:type="character" w:customStyle="1" w:styleId="102">
    <w:name w:val="modify_click"/>
    <w:basedOn w:val="7"/>
    <w:qFormat/>
    <w:uiPriority w:val="0"/>
    <w:rPr>
      <w:color w:val="FFFFFF"/>
      <w:shd w:val="clear" w:fill="F07700"/>
    </w:rPr>
  </w:style>
  <w:style w:type="character" w:customStyle="1" w:styleId="103">
    <w:name w:val="tool_index_crumbs_span"/>
    <w:basedOn w:val="7"/>
    <w:qFormat/>
    <w:uiPriority w:val="0"/>
    <w:rPr>
      <w:color w:val="FF6000"/>
    </w:rPr>
  </w:style>
  <w:style w:type="character" w:customStyle="1" w:styleId="104">
    <w:name w:val="colorr"/>
    <w:basedOn w:val="7"/>
    <w:qFormat/>
    <w:uiPriority w:val="0"/>
    <w:rPr>
      <w:b/>
      <w:color w:val="FF5A00"/>
      <w:sz w:val="21"/>
      <w:szCs w:val="21"/>
    </w:rPr>
  </w:style>
  <w:style w:type="character" w:customStyle="1" w:styleId="105">
    <w:name w:val="fr62"/>
    <w:basedOn w:val="7"/>
    <w:qFormat/>
    <w:uiPriority w:val="0"/>
    <w:rPr>
      <w:shd w:val="clear" w:fill="FFFFFF"/>
    </w:rPr>
  </w:style>
  <w:style w:type="character" w:customStyle="1" w:styleId="106">
    <w:name w:val="more6"/>
    <w:basedOn w:val="7"/>
    <w:qFormat/>
    <w:uiPriority w:val="0"/>
  </w:style>
  <w:style w:type="character" w:customStyle="1" w:styleId="107">
    <w:name w:val="split"/>
    <w:basedOn w:val="7"/>
    <w:qFormat/>
    <w:uiPriority w:val="0"/>
  </w:style>
  <w:style w:type="character" w:customStyle="1" w:styleId="108">
    <w:name w:val="count7"/>
    <w:basedOn w:val="7"/>
    <w:qFormat/>
    <w:uiPriority w:val="0"/>
    <w:rPr>
      <w:color w:val="DB550C"/>
      <w:sz w:val="18"/>
      <w:szCs w:val="18"/>
    </w:rPr>
  </w:style>
  <w:style w:type="character" w:customStyle="1" w:styleId="109">
    <w:name w:val="count8"/>
    <w:basedOn w:val="7"/>
    <w:qFormat/>
    <w:uiPriority w:val="0"/>
    <w:rPr>
      <w:color w:val="FF6600"/>
    </w:rPr>
  </w:style>
  <w:style w:type="character" w:customStyle="1" w:styleId="110">
    <w:name w:val="gj"/>
    <w:basedOn w:val="7"/>
    <w:qFormat/>
    <w:uiPriority w:val="0"/>
    <w:rPr>
      <w:color w:val="FFF600"/>
    </w:rPr>
  </w:style>
  <w:style w:type="character" w:customStyle="1" w:styleId="111">
    <w:name w:val="info14"/>
    <w:basedOn w:val="7"/>
    <w:qFormat/>
    <w:uiPriority w:val="0"/>
    <w:rPr>
      <w:color w:val="188EA7"/>
    </w:rPr>
  </w:style>
  <w:style w:type="character" w:customStyle="1" w:styleId="112">
    <w:name w:val="thistab10"/>
    <w:basedOn w:val="7"/>
    <w:qFormat/>
    <w:uiPriority w:val="0"/>
  </w:style>
  <w:style w:type="character" w:customStyle="1" w:styleId="113">
    <w:name w:val="modify"/>
    <w:basedOn w:val="7"/>
    <w:qFormat/>
    <w:uiPriority w:val="0"/>
    <w:rPr>
      <w:rFonts w:hint="eastAsia" w:ascii="宋体" w:hAnsi="宋体" w:eastAsia="宋体" w:cs="宋体"/>
      <w:color w:val="006BB6"/>
      <w:sz w:val="21"/>
      <w:szCs w:val="21"/>
    </w:rPr>
  </w:style>
  <w:style w:type="character" w:customStyle="1" w:styleId="114">
    <w:name w:val="add"/>
    <w:basedOn w:val="7"/>
    <w:qFormat/>
    <w:uiPriority w:val="0"/>
    <w:rPr>
      <w:rFonts w:hint="eastAsia" w:ascii="宋体" w:hAnsi="宋体" w:eastAsia="宋体" w:cs="宋体"/>
      <w:color w:val="006BB6"/>
      <w:sz w:val="21"/>
      <w:szCs w:val="21"/>
    </w:rPr>
  </w:style>
  <w:style w:type="character" w:customStyle="1" w:styleId="115">
    <w:name w:val="info15"/>
    <w:basedOn w:val="7"/>
    <w:qFormat/>
    <w:uiPriority w:val="0"/>
    <w:rPr>
      <w:rFonts w:hint="eastAsia" w:ascii="宋体" w:hAnsi="宋体" w:eastAsia="宋体" w:cs="宋体"/>
      <w:color w:val="006BB6"/>
      <w:sz w:val="21"/>
      <w:szCs w:val="21"/>
    </w:rPr>
  </w:style>
  <w:style w:type="character" w:customStyle="1" w:styleId="116">
    <w:name w:val="info25"/>
    <w:basedOn w:val="7"/>
    <w:qFormat/>
    <w:uiPriority w:val="0"/>
    <w:rPr>
      <w:rFonts w:hint="eastAsia" w:ascii="宋体" w:hAnsi="宋体" w:eastAsia="宋体" w:cs="宋体"/>
      <w:color w:val="006BB6"/>
      <w:sz w:val="21"/>
      <w:szCs w:val="21"/>
    </w:rPr>
  </w:style>
  <w:style w:type="character" w:customStyle="1" w:styleId="117">
    <w:name w:val="time20"/>
    <w:basedOn w:val="7"/>
    <w:qFormat/>
    <w:uiPriority w:val="0"/>
    <w:rPr>
      <w:rFonts w:hint="eastAsia" w:ascii="宋体" w:hAnsi="宋体" w:eastAsia="宋体" w:cs="宋体"/>
      <w:color w:val="2A2A2A"/>
      <w:sz w:val="18"/>
      <w:szCs w:val="18"/>
    </w:rPr>
  </w:style>
  <w:style w:type="character" w:customStyle="1" w:styleId="118">
    <w:name w:val="active20"/>
    <w:basedOn w:val="7"/>
    <w:qFormat/>
    <w:uiPriority w:val="0"/>
    <w:rPr>
      <w:color w:val="006BB6"/>
    </w:rPr>
  </w:style>
  <w:style w:type="character" w:customStyle="1" w:styleId="119">
    <w:name w:val="active21"/>
    <w:basedOn w:val="7"/>
    <w:qFormat/>
    <w:uiPriority w:val="0"/>
    <w:rPr>
      <w:color w:val="FF6000"/>
    </w:rPr>
  </w:style>
  <w:style w:type="character" w:customStyle="1" w:styleId="120">
    <w:name w:val="active22"/>
    <w:basedOn w:val="7"/>
    <w:qFormat/>
    <w:uiPriority w:val="0"/>
    <w:rPr>
      <w:color w:val="FFFFFF"/>
      <w:shd w:val="clear" w:fill="006BB6"/>
    </w:rPr>
  </w:style>
  <w:style w:type="character" w:customStyle="1" w:styleId="121">
    <w:name w:val="active23"/>
    <w:basedOn w:val="7"/>
    <w:qFormat/>
    <w:uiPriority w:val="0"/>
    <w:rPr>
      <w:bdr w:val="single" w:color="EB5800" w:sz="6" w:space="0"/>
    </w:rPr>
  </w:style>
  <w:style w:type="character" w:customStyle="1" w:styleId="122">
    <w:name w:val="active24"/>
    <w:basedOn w:val="7"/>
    <w:qFormat/>
    <w:uiPriority w:val="0"/>
    <w:rPr>
      <w:color w:val="EB5800"/>
    </w:rPr>
  </w:style>
  <w:style w:type="character" w:customStyle="1" w:styleId="123">
    <w:name w:val="active25"/>
    <w:basedOn w:val="7"/>
    <w:qFormat/>
    <w:uiPriority w:val="0"/>
    <w:rPr>
      <w:bdr w:val="single" w:color="B6D3F1" w:sz="6" w:space="0"/>
      <w:shd w:val="clear" w:fill="FFFFFF"/>
    </w:rPr>
  </w:style>
  <w:style w:type="character" w:customStyle="1" w:styleId="124">
    <w:name w:val="active26"/>
    <w:basedOn w:val="7"/>
    <w:qFormat/>
    <w:uiPriority w:val="0"/>
  </w:style>
  <w:style w:type="character" w:customStyle="1" w:styleId="125">
    <w:name w:val="active27"/>
    <w:basedOn w:val="7"/>
    <w:qFormat/>
    <w:uiPriority w:val="0"/>
    <w:rPr>
      <w:shd w:val="clear" w:fill="FFFFFF"/>
    </w:rPr>
  </w:style>
  <w:style w:type="character" w:customStyle="1" w:styleId="126">
    <w:name w:val="hover80"/>
    <w:basedOn w:val="7"/>
    <w:qFormat/>
    <w:uiPriority w:val="0"/>
    <w:rPr>
      <w:color w:val="FFFFFF"/>
      <w:shd w:val="clear" w:fill="016BB9"/>
    </w:rPr>
  </w:style>
  <w:style w:type="character" w:customStyle="1" w:styleId="127">
    <w:name w:val="count10"/>
    <w:basedOn w:val="7"/>
    <w:qFormat/>
    <w:uiPriority w:val="0"/>
    <w:rPr>
      <w:color w:val="FF6600"/>
    </w:rPr>
  </w:style>
  <w:style w:type="character" w:customStyle="1" w:styleId="128">
    <w:name w:val="count11"/>
    <w:basedOn w:val="7"/>
    <w:qFormat/>
    <w:uiPriority w:val="0"/>
    <w:rPr>
      <w:color w:val="DB550C"/>
      <w:sz w:val="18"/>
      <w:szCs w:val="18"/>
    </w:rPr>
  </w:style>
  <w:style w:type="character" w:customStyle="1" w:styleId="129">
    <w:name w:val="name30"/>
    <w:basedOn w:val="7"/>
    <w:qFormat/>
    <w:uiPriority w:val="0"/>
    <w:rPr>
      <w:rFonts w:ascii="微软雅黑" w:hAnsi="微软雅黑" w:eastAsia="微软雅黑" w:cs="微软雅黑"/>
      <w:color w:val="F96300"/>
      <w:sz w:val="27"/>
      <w:szCs w:val="27"/>
    </w:rPr>
  </w:style>
  <w:style w:type="character" w:customStyle="1" w:styleId="130">
    <w:name w:val="spanright"/>
    <w:basedOn w:val="7"/>
    <w:qFormat/>
    <w:uiPriority w:val="0"/>
  </w:style>
  <w:style w:type="character" w:customStyle="1" w:styleId="131">
    <w:name w:val="spanright1"/>
    <w:basedOn w:val="7"/>
    <w:qFormat/>
    <w:uiPriority w:val="0"/>
    <w:rPr>
      <w:color w:val="666666"/>
      <w:sz w:val="18"/>
      <w:szCs w:val="18"/>
    </w:rPr>
  </w:style>
  <w:style w:type="character" w:customStyle="1" w:styleId="132">
    <w:name w:val="spanright2"/>
    <w:basedOn w:val="7"/>
    <w:qFormat/>
    <w:uiPriority w:val="0"/>
  </w:style>
  <w:style w:type="character" w:customStyle="1" w:styleId="133">
    <w:name w:val="spanright3"/>
    <w:basedOn w:val="7"/>
    <w:qFormat/>
    <w:uiPriority w:val="0"/>
    <w:rPr>
      <w:color w:val="666666"/>
      <w:sz w:val="18"/>
      <w:szCs w:val="18"/>
    </w:rPr>
  </w:style>
  <w:style w:type="character" w:customStyle="1" w:styleId="134">
    <w:name w:val="spanleft"/>
    <w:basedOn w:val="7"/>
    <w:qFormat/>
    <w:uiPriority w:val="0"/>
  </w:style>
  <w:style w:type="character" w:customStyle="1" w:styleId="135">
    <w:name w:val="spanleft1"/>
    <w:basedOn w:val="7"/>
    <w:qFormat/>
    <w:uiPriority w:val="0"/>
  </w:style>
  <w:style w:type="character" w:customStyle="1" w:styleId="136">
    <w:name w:val="spanright_69"/>
    <w:basedOn w:val="7"/>
    <w:qFormat/>
    <w:uiPriority w:val="0"/>
    <w:rPr>
      <w:color w:val="666666"/>
      <w:sz w:val="18"/>
      <w:szCs w:val="18"/>
    </w:rPr>
  </w:style>
  <w:style w:type="character" w:customStyle="1" w:styleId="137">
    <w:name w:val="span_left"/>
    <w:basedOn w:val="7"/>
    <w:qFormat/>
    <w:uiPriority w:val="0"/>
    <w:rPr>
      <w:color w:val="666666"/>
      <w:sz w:val="18"/>
      <w:szCs w:val="18"/>
    </w:rPr>
  </w:style>
  <w:style w:type="character" w:customStyle="1" w:styleId="138">
    <w:name w:val="spantitle6"/>
    <w:basedOn w:val="7"/>
    <w:qFormat/>
    <w:uiPriority w:val="0"/>
    <w:rPr>
      <w:b/>
      <w:color w:val="000000"/>
      <w:sz w:val="21"/>
      <w:szCs w:val="21"/>
    </w:rPr>
  </w:style>
  <w:style w:type="character" w:customStyle="1" w:styleId="139">
    <w:name w:val="spantitle7"/>
    <w:basedOn w:val="7"/>
    <w:qFormat/>
    <w:uiPriority w:val="0"/>
    <w:rPr>
      <w:b/>
      <w:color w:val="000000"/>
      <w:sz w:val="21"/>
      <w:szCs w:val="21"/>
    </w:rPr>
  </w:style>
  <w:style w:type="character" w:customStyle="1" w:styleId="140">
    <w:name w:val="spantitle8"/>
    <w:basedOn w:val="7"/>
    <w:qFormat/>
    <w:uiPriority w:val="0"/>
    <w:rPr>
      <w:b/>
      <w:color w:val="FFFFFF"/>
    </w:rPr>
  </w:style>
  <w:style w:type="character" w:customStyle="1" w:styleId="141">
    <w:name w:val="spantitle9"/>
    <w:basedOn w:val="7"/>
    <w:qFormat/>
    <w:uiPriority w:val="0"/>
    <w:rPr>
      <w:b/>
      <w:color w:val="000000"/>
      <w:sz w:val="21"/>
      <w:szCs w:val="21"/>
    </w:rPr>
  </w:style>
  <w:style w:type="character" w:customStyle="1" w:styleId="142">
    <w:name w:val="spanmore"/>
    <w:basedOn w:val="7"/>
    <w:qFormat/>
    <w:uiPriority w:val="0"/>
  </w:style>
  <w:style w:type="character" w:customStyle="1" w:styleId="143">
    <w:name w:val="spanmore1"/>
    <w:basedOn w:val="7"/>
    <w:qFormat/>
    <w:uiPriority w:val="0"/>
  </w:style>
  <w:style w:type="character" w:customStyle="1" w:styleId="144">
    <w:name w:val="spanmore2"/>
    <w:basedOn w:val="7"/>
    <w:qFormat/>
    <w:uiPriority w:val="0"/>
  </w:style>
  <w:style w:type="character" w:customStyle="1" w:styleId="145">
    <w:name w:val="spanmore3"/>
    <w:basedOn w:val="7"/>
    <w:qFormat/>
    <w:uiPriority w:val="0"/>
  </w:style>
  <w:style w:type="character" w:customStyle="1" w:styleId="146">
    <w:name w:val="spanright_long"/>
    <w:basedOn w:val="7"/>
    <w:qFormat/>
    <w:uiPriority w:val="0"/>
    <w:rPr>
      <w:color w:val="666666"/>
      <w:sz w:val="18"/>
      <w:szCs w:val="18"/>
    </w:rPr>
  </w:style>
  <w:style w:type="character" w:customStyle="1" w:styleId="147">
    <w:name w:val="sk_subnav_title"/>
    <w:basedOn w:val="7"/>
    <w:qFormat/>
    <w:uiPriority w:val="0"/>
  </w:style>
  <w:style w:type="character" w:customStyle="1" w:styleId="148">
    <w:name w:val="spanred"/>
    <w:basedOn w:val="7"/>
    <w:qFormat/>
    <w:uiPriority w:val="0"/>
    <w:rPr>
      <w:color w:val="E30000"/>
    </w:rPr>
  </w:style>
  <w:style w:type="character" w:customStyle="1" w:styleId="149">
    <w:name w:val="spanright_short"/>
    <w:basedOn w:val="7"/>
    <w:uiPriority w:val="0"/>
    <w:rPr>
      <w:color w:val="666666"/>
      <w:sz w:val="18"/>
      <w:szCs w:val="18"/>
    </w:rPr>
  </w:style>
  <w:style w:type="character" w:customStyle="1" w:styleId="150">
    <w:name w:val="spanright_shorter"/>
    <w:basedOn w:val="7"/>
    <w:qFormat/>
    <w:uiPriority w:val="0"/>
    <w:rPr>
      <w:color w:val="666666"/>
      <w:sz w:val="18"/>
      <w:szCs w:val="18"/>
    </w:rPr>
  </w:style>
  <w:style w:type="character" w:customStyle="1" w:styleId="151">
    <w:name w:val="spanright_80"/>
    <w:basedOn w:val="7"/>
    <w:qFormat/>
    <w:uiPriority w:val="0"/>
    <w:rPr>
      <w:color w:val="666666"/>
      <w:sz w:val="18"/>
      <w:szCs w:val="18"/>
    </w:rPr>
  </w:style>
  <w:style w:type="character" w:customStyle="1" w:styleId="152">
    <w:name w:val="spanright_mid"/>
    <w:basedOn w:val="7"/>
    <w:qFormat/>
    <w:uiPriority w:val="0"/>
    <w:rPr>
      <w:color w:val="666666"/>
      <w:sz w:val="18"/>
      <w:szCs w:val="18"/>
    </w:rPr>
  </w:style>
  <w:style w:type="character" w:customStyle="1" w:styleId="153">
    <w:name w:val="spanitalic"/>
    <w:basedOn w:val="7"/>
    <w:qFormat/>
    <w:uiPriority w:val="0"/>
    <w:rPr>
      <w:color w:val="666666"/>
      <w:sz w:val="18"/>
      <w:szCs w:val="18"/>
    </w:rPr>
  </w:style>
  <w:style w:type="character" w:customStyle="1" w:styleId="154">
    <w:name w:val="fontstrikethrough"/>
    <w:basedOn w:val="7"/>
    <w:qFormat/>
    <w:uiPriority w:val="0"/>
    <w:rPr>
      <w:strike/>
    </w:rPr>
  </w:style>
  <w:style w:type="character" w:customStyle="1" w:styleId="155">
    <w:name w:val="fontborder"/>
    <w:basedOn w:val="7"/>
    <w:qFormat/>
    <w:uiPriority w:val="0"/>
    <w:rPr>
      <w:bdr w:val="single" w:color="000000" w:sz="6" w:space="0"/>
    </w:rPr>
  </w:style>
  <w:style w:type="paragraph" w:customStyle="1" w:styleId="156">
    <w:name w:val="c"/>
    <w:basedOn w:val="1"/>
    <w:qFormat/>
    <w:uiPriority w:val="0"/>
    <w:pPr>
      <w:pBdr>
        <w:top w:val="none" w:color="auto" w:sz="0" w:space="0"/>
      </w:pBdr>
      <w:spacing w:line="390" w:lineRule="atLeast"/>
      <w:jc w:val="left"/>
    </w:pPr>
    <w:rPr>
      <w:kern w:val="0"/>
      <w:sz w:val="21"/>
      <w:szCs w:val="21"/>
      <w:lang w:val="en-US" w:eastAsia="zh-CN" w:bidi="ar"/>
    </w:rPr>
  </w:style>
  <w:style w:type="paragraph" w:customStyle="1" w:styleId="157">
    <w:name w:val="z"/>
    <w:basedOn w:val="1"/>
    <w:qFormat/>
    <w:uiPriority w:val="0"/>
    <w:pPr>
      <w:jc w:val="left"/>
    </w:pPr>
    <w:rPr>
      <w:b/>
      <w:color w:val="FF00FF"/>
      <w:kern w:val="0"/>
      <w:sz w:val="24"/>
      <w:szCs w:val="24"/>
      <w:lang w:val="en-US" w:eastAsia="zh-CN" w:bidi="ar"/>
    </w:rPr>
  </w:style>
  <w:style w:type="paragraph" w:customStyle="1" w:styleId="158">
    <w:name w:val="_Style 157"/>
    <w:basedOn w:val="1"/>
    <w:next w:val="1"/>
    <w:qFormat/>
    <w:uiPriority w:val="0"/>
    <w:pPr>
      <w:pBdr>
        <w:bottom w:val="single" w:color="auto" w:sz="6" w:space="1"/>
      </w:pBdr>
      <w:jc w:val="center"/>
    </w:pPr>
    <w:rPr>
      <w:rFonts w:ascii="Arial" w:eastAsia="宋体"/>
      <w:vanish/>
      <w:sz w:val="16"/>
    </w:rPr>
  </w:style>
  <w:style w:type="paragraph" w:customStyle="1" w:styleId="159">
    <w:name w:val="_Style 158"/>
    <w:basedOn w:val="1"/>
    <w:next w:val="1"/>
    <w:qFormat/>
    <w:uiPriority w:val="0"/>
    <w:pPr>
      <w:pBdr>
        <w:top w:val="single" w:color="auto" w:sz="6" w:space="1"/>
      </w:pBdr>
      <w:jc w:val="center"/>
    </w:pPr>
    <w:rPr>
      <w:rFonts w:ascii="Arial" w:eastAsia="宋体"/>
      <w:vanish/>
      <w:sz w:val="16"/>
    </w:rPr>
  </w:style>
  <w:style w:type="character" w:customStyle="1" w:styleId="160">
    <w:name w:val="n1"/>
    <w:basedOn w:val="7"/>
    <w:qFormat/>
    <w:uiPriority w:val="0"/>
    <w:rPr>
      <w:b/>
      <w:color w:val="000099"/>
      <w:sz w:val="21"/>
      <w:szCs w:val="21"/>
    </w:rPr>
  </w:style>
  <w:style w:type="character" w:customStyle="1" w:styleId="161">
    <w:name w:val="hover"/>
    <w:basedOn w:val="7"/>
    <w:qFormat/>
    <w:uiPriority w:val="0"/>
    <w:rPr>
      <w:shd w:val="clear" w:fill="F3F3F3"/>
    </w:rPr>
  </w:style>
  <w:style w:type="character" w:customStyle="1" w:styleId="162">
    <w:name w:val="hover1"/>
    <w:basedOn w:val="7"/>
    <w:uiPriority w:val="0"/>
    <w:rPr>
      <w:shd w:val="clear" w:fill="F3F3F3"/>
    </w:rPr>
  </w:style>
  <w:style w:type="paragraph" w:customStyle="1" w:styleId="163">
    <w:name w:val="f-article-title-small"/>
    <w:basedOn w:val="1"/>
    <w:qFormat/>
    <w:uiPriority w:val="0"/>
    <w:pPr>
      <w:jc w:val="center"/>
    </w:pPr>
    <w:rPr>
      <w:b/>
      <w:color w:val="FF6600"/>
      <w:kern w:val="0"/>
      <w:sz w:val="24"/>
      <w:szCs w:val="24"/>
      <w:lang w:val="en-US" w:eastAsia="zh-CN" w:bidi="ar"/>
    </w:rPr>
  </w:style>
  <w:style w:type="character" w:customStyle="1" w:styleId="164">
    <w:name w:val="f-article-txt-fb1"/>
    <w:basedOn w:val="7"/>
    <w:qFormat/>
    <w:uiPriority w:val="0"/>
    <w:rPr>
      <w:b/>
      <w:color w:val="FF6600"/>
    </w:rPr>
  </w:style>
  <w:style w:type="character" w:customStyle="1" w:styleId="165">
    <w:name w:val="hover2"/>
    <w:basedOn w:val="7"/>
    <w:qFormat/>
    <w:uiPriority w:val="0"/>
    <w:rPr>
      <w:shd w:val="clear" w:fill="F3F3F3"/>
    </w:rPr>
  </w:style>
  <w:style w:type="character" w:customStyle="1" w:styleId="166">
    <w:name w:val="hover3"/>
    <w:basedOn w:val="7"/>
    <w:qFormat/>
    <w:uiPriority w:val="0"/>
    <w:rPr>
      <w:shd w:val="clear" w:fill="F3F3F3"/>
    </w:rPr>
  </w:style>
  <w:style w:type="character" w:customStyle="1" w:styleId="167">
    <w:name w:val="spanmore4"/>
    <w:basedOn w:val="7"/>
    <w:qFormat/>
    <w:uiPriority w:val="0"/>
  </w:style>
  <w:style w:type="character" w:customStyle="1" w:styleId="168">
    <w:name w:val="spanmore5"/>
    <w:basedOn w:val="7"/>
    <w:qFormat/>
    <w:uiPriority w:val="0"/>
  </w:style>
  <w:style w:type="character" w:customStyle="1" w:styleId="169">
    <w:name w:val="spanmore6"/>
    <w:basedOn w:val="7"/>
    <w:qFormat/>
    <w:uiPriority w:val="0"/>
  </w:style>
  <w:style w:type="character" w:customStyle="1" w:styleId="170">
    <w:name w:val="spanmore7"/>
    <w:basedOn w:val="7"/>
    <w:qFormat/>
    <w:uiPriority w:val="0"/>
  </w:style>
  <w:style w:type="character" w:customStyle="1" w:styleId="171">
    <w:name w:val="span_left28"/>
    <w:basedOn w:val="7"/>
    <w:qFormat/>
    <w:uiPriority w:val="0"/>
    <w:rPr>
      <w:color w:val="666666"/>
      <w:sz w:val="18"/>
      <w:szCs w:val="18"/>
    </w:rPr>
  </w:style>
  <w:style w:type="character" w:customStyle="1" w:styleId="172">
    <w:name w:val="spantitle"/>
    <w:basedOn w:val="7"/>
    <w:qFormat/>
    <w:uiPriority w:val="0"/>
    <w:rPr>
      <w:b/>
      <w:color w:val="FFFFFF"/>
    </w:rPr>
  </w:style>
  <w:style w:type="character" w:customStyle="1" w:styleId="173">
    <w:name w:val="spantitle1"/>
    <w:basedOn w:val="7"/>
    <w:qFormat/>
    <w:uiPriority w:val="0"/>
    <w:rPr>
      <w:b/>
      <w:color w:val="000000"/>
      <w:sz w:val="21"/>
      <w:szCs w:val="21"/>
    </w:rPr>
  </w:style>
  <w:style w:type="character" w:customStyle="1" w:styleId="174">
    <w:name w:val="spantitle2"/>
    <w:basedOn w:val="7"/>
    <w:qFormat/>
    <w:uiPriority w:val="0"/>
    <w:rPr>
      <w:b/>
      <w:color w:val="000000"/>
      <w:sz w:val="21"/>
      <w:szCs w:val="21"/>
    </w:rPr>
  </w:style>
  <w:style w:type="character" w:customStyle="1" w:styleId="175">
    <w:name w:val="spantitle3"/>
    <w:basedOn w:val="7"/>
    <w:qFormat/>
    <w:uiPriority w:val="0"/>
    <w:rPr>
      <w:b/>
      <w:color w:val="000000"/>
      <w:sz w:val="21"/>
      <w:szCs w:val="21"/>
    </w:rPr>
  </w:style>
  <w:style w:type="character" w:customStyle="1" w:styleId="176">
    <w:name w:val="hover56"/>
    <w:basedOn w:val="7"/>
    <w:qFormat/>
    <w:uiPriority w:val="0"/>
    <w:rPr>
      <w:shd w:val="clear" w:fill="F3F3F3"/>
    </w:rPr>
  </w:style>
  <w:style w:type="character" w:customStyle="1" w:styleId="177">
    <w:name w:val="hover61"/>
    <w:basedOn w:val="7"/>
    <w:qFormat/>
    <w:uiPriority w:val="0"/>
    <w:rPr>
      <w:shd w:val="clear" w:fill="F3F3F3"/>
    </w:rPr>
  </w:style>
  <w:style w:type="character" w:customStyle="1" w:styleId="178">
    <w:name w:val="hover103"/>
    <w:basedOn w:val="7"/>
    <w:qFormat/>
    <w:uiPriority w:val="0"/>
    <w:rPr>
      <w:shd w:val="clear" w:fill="F3F3F3"/>
    </w:rPr>
  </w:style>
  <w:style w:type="character" w:customStyle="1" w:styleId="179">
    <w:name w:val="hover104"/>
    <w:basedOn w:val="7"/>
    <w:qFormat/>
    <w:uiPriority w:val="0"/>
    <w:rPr>
      <w:shd w:val="clear" w:fill="F3F3F3"/>
    </w:rPr>
  </w:style>
  <w:style w:type="character" w:customStyle="1" w:styleId="180">
    <w:name w:val="hover105"/>
    <w:basedOn w:val="7"/>
    <w:qFormat/>
    <w:uiPriority w:val="0"/>
    <w:rPr>
      <w:shd w:val="clear" w:fill="F3F3F3"/>
    </w:rPr>
  </w:style>
  <w:style w:type="character" w:customStyle="1" w:styleId="181">
    <w:name w:val="hover106"/>
    <w:basedOn w:val="7"/>
    <w:qFormat/>
    <w:uiPriority w:val="0"/>
    <w:rPr>
      <w:shd w:val="clear" w:fill="F3F3F3"/>
    </w:rPr>
  </w:style>
  <w:style w:type="character" w:customStyle="1" w:styleId="182">
    <w:name w:val="sco"/>
    <w:basedOn w:val="7"/>
    <w:qFormat/>
    <w:uiPriority w:val="0"/>
    <w:rPr>
      <w:color w:val="0F7CC1"/>
    </w:rPr>
  </w:style>
  <w:style w:type="character" w:customStyle="1" w:styleId="183">
    <w:name w:val="tb_img"/>
    <w:basedOn w:val="7"/>
    <w:qFormat/>
    <w:uiPriority w:val="0"/>
  </w:style>
  <w:style w:type="character" w:customStyle="1" w:styleId="184">
    <w:name w:val="hover102"/>
    <w:basedOn w:val="7"/>
    <w:qFormat/>
    <w:uiPriority w:val="0"/>
    <w:rPr>
      <w:shd w:val="clear" w:fill="F3F3F3"/>
    </w:rPr>
  </w:style>
  <w:style w:type="paragraph" w:customStyle="1" w:styleId="185">
    <w:name w:val="contentarticle"/>
    <w:basedOn w:val="1"/>
    <w:qFormat/>
    <w:uiPriority w:val="0"/>
    <w:pPr>
      <w:jc w:val="left"/>
    </w:pPr>
    <w:rPr>
      <w:kern w:val="0"/>
      <w:sz w:val="21"/>
      <w:szCs w:val="21"/>
      <w:lang w:val="en-US" w:eastAsia="zh-CN" w:bidi="ar"/>
    </w:rPr>
  </w:style>
  <w:style w:type="character" w:customStyle="1" w:styleId="186">
    <w:name w:val="f141"/>
    <w:basedOn w:val="7"/>
    <w:qFormat/>
    <w:uiPriority w:val="0"/>
    <w:rPr>
      <w:sz w:val="21"/>
      <w:szCs w:val="21"/>
    </w:rPr>
  </w:style>
  <w:style w:type="character" w:customStyle="1" w:styleId="187">
    <w:name w:val="hover107"/>
    <w:basedOn w:val="7"/>
    <w:qFormat/>
    <w:uiPriority w:val="0"/>
    <w:rPr>
      <w:shd w:val="clear" w:fill="F3F3F3"/>
    </w:rPr>
  </w:style>
  <w:style w:type="character" w:customStyle="1" w:styleId="188">
    <w:name w:val="at_sd_rh"/>
    <w:basedOn w:val="7"/>
    <w:qFormat/>
    <w:uiPriority w:val="0"/>
  </w:style>
  <w:style w:type="character" w:customStyle="1" w:styleId="189">
    <w:name w:val="at_sd_rh2"/>
    <w:basedOn w:val="7"/>
    <w:qFormat/>
    <w:uiPriority w:val="0"/>
  </w:style>
  <w:style w:type="character" w:customStyle="1" w:styleId="190">
    <w:name w:val="hover108"/>
    <w:basedOn w:val="7"/>
    <w:qFormat/>
    <w:uiPriority w:val="0"/>
    <w:rPr>
      <w:shd w:val="clear" w:fill="F3F3F3"/>
    </w:rPr>
  </w:style>
  <w:style w:type="character" w:customStyle="1" w:styleId="191">
    <w:name w:val="hover109"/>
    <w:basedOn w:val="7"/>
    <w:qFormat/>
    <w:uiPriority w:val="0"/>
    <w:rPr>
      <w:shd w:val="clear" w:fill="F3F3F3"/>
    </w:rPr>
  </w:style>
  <w:style w:type="character" w:customStyle="1" w:styleId="192">
    <w:name w:val="hover112"/>
    <w:basedOn w:val="7"/>
    <w:qFormat/>
    <w:uiPriority w:val="0"/>
    <w:rPr>
      <w:shd w:val="clear" w:fill="F3F3F3"/>
    </w:rPr>
  </w:style>
  <w:style w:type="character" w:customStyle="1" w:styleId="193">
    <w:name w:val="hover113"/>
    <w:basedOn w:val="7"/>
    <w:qFormat/>
    <w:uiPriority w:val="0"/>
    <w:rPr>
      <w:shd w:val="clear" w:fill="F3F3F3"/>
    </w:rPr>
  </w:style>
  <w:style w:type="paragraph" w:customStyle="1" w:styleId="194">
    <w:name w:val="_Style 193"/>
    <w:basedOn w:val="1"/>
    <w:next w:val="1"/>
    <w:qFormat/>
    <w:uiPriority w:val="0"/>
    <w:pPr>
      <w:pBdr>
        <w:bottom w:val="single" w:color="auto" w:sz="6" w:space="1"/>
      </w:pBdr>
      <w:jc w:val="center"/>
    </w:pPr>
    <w:rPr>
      <w:rFonts w:ascii="Arial" w:eastAsia="宋体"/>
      <w:vanish/>
      <w:sz w:val="16"/>
    </w:rPr>
  </w:style>
  <w:style w:type="paragraph" w:customStyle="1" w:styleId="195">
    <w:name w:val="_Style 194"/>
    <w:basedOn w:val="1"/>
    <w:next w:val="1"/>
    <w:qFormat/>
    <w:uiPriority w:val="0"/>
    <w:pPr>
      <w:pBdr>
        <w:top w:val="single" w:color="auto" w:sz="6" w:space="1"/>
      </w:pBdr>
      <w:jc w:val="center"/>
    </w:pPr>
    <w:rPr>
      <w:rFonts w:ascii="Arial" w:eastAsia="宋体"/>
      <w:vanish/>
      <w:sz w:val="16"/>
    </w:rPr>
  </w:style>
  <w:style w:type="character" w:customStyle="1" w:styleId="196">
    <w:name w:val="gray"/>
    <w:basedOn w:val="7"/>
    <w:qFormat/>
    <w:uiPriority w:val="0"/>
    <w:rPr>
      <w:color w:val="666666"/>
    </w:rPr>
  </w:style>
  <w:style w:type="character" w:customStyle="1" w:styleId="197">
    <w:name w:val="text"/>
    <w:basedOn w:val="7"/>
    <w:qFormat/>
    <w:uiPriority w:val="0"/>
    <w:rPr>
      <w:b/>
      <w:color w:val="000000"/>
      <w:sz w:val="21"/>
      <w:szCs w:val="21"/>
    </w:rPr>
  </w:style>
  <w:style w:type="character" w:customStyle="1" w:styleId="198">
    <w:name w:val="text1"/>
    <w:basedOn w:val="7"/>
    <w:qFormat/>
    <w:uiPriority w:val="0"/>
    <w:rPr>
      <w:b/>
      <w:color w:val="000000"/>
      <w:sz w:val="21"/>
      <w:szCs w:val="21"/>
    </w:rPr>
  </w:style>
  <w:style w:type="character" w:customStyle="1" w:styleId="199">
    <w:name w:val="on4"/>
    <w:basedOn w:val="7"/>
    <w:qFormat/>
    <w:uiPriority w:val="0"/>
    <w:rPr>
      <w:color w:val="FFFFFF"/>
      <w:shd w:val="clear" w:fill="FF9936"/>
    </w:rPr>
  </w:style>
  <w:style w:type="character" w:customStyle="1" w:styleId="200">
    <w:name w:val="on1"/>
    <w:basedOn w:val="7"/>
    <w:qFormat/>
    <w:uiPriority w:val="0"/>
    <w:rPr>
      <w:color w:val="FFFFFF"/>
      <w:shd w:val="clear" w:fill="FF9936"/>
    </w:rPr>
  </w:style>
  <w:style w:type="character" w:customStyle="1" w:styleId="201">
    <w:name w:val="mico_wd"/>
    <w:basedOn w:val="7"/>
    <w:uiPriority w:val="0"/>
  </w:style>
  <w:style w:type="character" w:customStyle="1" w:styleId="202">
    <w:name w:val="sg_txtb"/>
    <w:basedOn w:val="7"/>
    <w:uiPriority w:val="0"/>
    <w:rPr>
      <w:sz w:val="18"/>
      <w:szCs w:val="18"/>
    </w:rPr>
  </w:style>
  <w:style w:type="character" w:customStyle="1" w:styleId="203">
    <w:name w:val="sg_txtb1"/>
    <w:basedOn w:val="7"/>
    <w:uiPriority w:val="0"/>
    <w:rPr>
      <w:rFonts w:hint="eastAsia" w:ascii="宋体" w:hAnsi="宋体" w:eastAsia="宋体" w:cs="宋体"/>
    </w:rPr>
  </w:style>
  <w:style w:type="character" w:customStyle="1" w:styleId="204">
    <w:name w:val="mico_xh"/>
    <w:basedOn w:val="7"/>
    <w:uiPriority w:val="0"/>
  </w:style>
  <w:style w:type="character" w:customStyle="1" w:styleId="205">
    <w:name w:val="mico_xh1"/>
    <w:basedOn w:val="7"/>
    <w:uiPriority w:val="0"/>
  </w:style>
  <w:style w:type="character" w:customStyle="1" w:styleId="206">
    <w:name w:val="mico_nr"/>
    <w:basedOn w:val="7"/>
    <w:uiPriority w:val="0"/>
  </w:style>
  <w:style w:type="character" w:customStyle="1" w:styleId="207">
    <w:name w:val="mico_nr1"/>
    <w:basedOn w:val="7"/>
    <w:uiPriority w:val="0"/>
  </w:style>
  <w:style w:type="character" w:customStyle="1" w:styleId="208">
    <w:name w:val="line_s"/>
    <w:basedOn w:val="7"/>
    <w:uiPriority w:val="0"/>
  </w:style>
  <w:style w:type="character" w:customStyle="1" w:styleId="209">
    <w:name w:val="line_s1"/>
    <w:basedOn w:val="7"/>
    <w:uiPriority w:val="0"/>
  </w:style>
  <w:style w:type="character" w:customStyle="1" w:styleId="210">
    <w:name w:val="line_l"/>
    <w:basedOn w:val="7"/>
    <w:uiPriority w:val="0"/>
  </w:style>
  <w:style w:type="character" w:customStyle="1" w:styleId="211">
    <w:name w:val="line_l1"/>
    <w:basedOn w:val="7"/>
    <w:uiPriority w:val="0"/>
  </w:style>
  <w:style w:type="character" w:customStyle="1" w:styleId="212">
    <w:name w:val="ico_msn"/>
    <w:basedOn w:val="7"/>
    <w:uiPriority w:val="0"/>
  </w:style>
  <w:style w:type="character" w:customStyle="1" w:styleId="213">
    <w:name w:val="sg_dot14"/>
    <w:basedOn w:val="7"/>
    <w:uiPriority w:val="0"/>
  </w:style>
  <w:style w:type="character" w:customStyle="1" w:styleId="214">
    <w:name w:val="sg_dot15"/>
    <w:basedOn w:val="7"/>
    <w:uiPriority w:val="0"/>
    <w:rPr>
      <w:bdr w:val="none" w:color="auto" w:sz="0" w:space="0"/>
    </w:rPr>
  </w:style>
  <w:style w:type="character" w:customStyle="1" w:styleId="215">
    <w:name w:val="sg_dot16"/>
    <w:basedOn w:val="7"/>
    <w:uiPriority w:val="0"/>
  </w:style>
  <w:style w:type="character" w:customStyle="1" w:styleId="216">
    <w:name w:val="news"/>
    <w:basedOn w:val="7"/>
    <w:uiPriority w:val="0"/>
  </w:style>
  <w:style w:type="character" w:customStyle="1" w:styleId="217">
    <w:name w:val="sg_floatl6"/>
    <w:basedOn w:val="7"/>
    <w:uiPriority w:val="0"/>
  </w:style>
  <w:style w:type="character" w:customStyle="1" w:styleId="218">
    <w:name w:val="sg_floatl7"/>
    <w:basedOn w:val="7"/>
    <w:uiPriority w:val="0"/>
  </w:style>
  <w:style w:type="character" w:customStyle="1" w:styleId="219">
    <w:name w:val="sg_floatl8"/>
    <w:basedOn w:val="7"/>
    <w:uiPriority w:val="0"/>
  </w:style>
  <w:style w:type="character" w:customStyle="1" w:styleId="220">
    <w:name w:val="tagr"/>
    <w:basedOn w:val="7"/>
    <w:uiPriority w:val="0"/>
    <w:rPr>
      <w:bdr w:val="none" w:color="auto" w:sz="0" w:space="0"/>
    </w:rPr>
  </w:style>
  <w:style w:type="character" w:customStyle="1" w:styleId="221">
    <w:name w:val="tagr1"/>
    <w:basedOn w:val="7"/>
    <w:uiPriority w:val="0"/>
  </w:style>
  <w:style w:type="character" w:customStyle="1" w:styleId="222">
    <w:name w:val="tagr2"/>
    <w:basedOn w:val="7"/>
    <w:uiPriority w:val="0"/>
  </w:style>
  <w:style w:type="character" w:customStyle="1" w:styleId="223">
    <w:name w:val="tagr3"/>
    <w:basedOn w:val="7"/>
    <w:uiPriority w:val="0"/>
  </w:style>
  <w:style w:type="character" w:customStyle="1" w:styleId="224">
    <w:name w:val="spcol1"/>
    <w:basedOn w:val="7"/>
    <w:uiPriority w:val="0"/>
  </w:style>
  <w:style w:type="character" w:customStyle="1" w:styleId="225">
    <w:name w:val="spcol11"/>
    <w:basedOn w:val="7"/>
    <w:uiPriority w:val="0"/>
  </w:style>
  <w:style w:type="character" w:customStyle="1" w:styleId="226">
    <w:name w:val="blog_evaluation"/>
    <w:basedOn w:val="7"/>
    <w:uiPriority w:val="0"/>
  </w:style>
  <w:style w:type="character" w:customStyle="1" w:styleId="227">
    <w:name w:val="tip"/>
    <w:basedOn w:val="7"/>
    <w:uiPriority w:val="0"/>
  </w:style>
  <w:style w:type="character" w:customStyle="1" w:styleId="228">
    <w:name w:val="htit2"/>
    <w:basedOn w:val="7"/>
    <w:uiPriority w:val="0"/>
    <w:rPr>
      <w:bdr w:val="none" w:color="auto" w:sz="0" w:space="0"/>
    </w:rPr>
  </w:style>
  <w:style w:type="character" w:customStyle="1" w:styleId="229">
    <w:name w:val="htit3"/>
    <w:basedOn w:val="7"/>
    <w:uiPriority w:val="0"/>
    <w:rPr>
      <w:color w:val="999999"/>
    </w:rPr>
  </w:style>
  <w:style w:type="character" w:customStyle="1" w:styleId="230">
    <w:name w:val="altlink"/>
    <w:basedOn w:val="7"/>
    <w:uiPriority w:val="0"/>
  </w:style>
  <w:style w:type="character" w:customStyle="1" w:styleId="231">
    <w:name w:val="home"/>
    <w:basedOn w:val="7"/>
    <w:uiPriority w:val="0"/>
    <w:rPr>
      <w:bdr w:val="none" w:color="auto" w:sz="0" w:space="0"/>
    </w:rPr>
  </w:style>
  <w:style w:type="character" w:customStyle="1" w:styleId="232">
    <w:name w:val="sg_txtc8"/>
    <w:basedOn w:val="7"/>
    <w:uiPriority w:val="0"/>
  </w:style>
  <w:style w:type="character" w:customStyle="1" w:styleId="233">
    <w:name w:val="spcol"/>
    <w:basedOn w:val="7"/>
    <w:uiPriority w:val="0"/>
  </w:style>
  <w:style w:type="character" w:customStyle="1" w:styleId="234">
    <w:name w:val="spcol2"/>
    <w:basedOn w:val="7"/>
    <w:uiPriority w:val="0"/>
  </w:style>
  <w:style w:type="character" w:customStyle="1" w:styleId="235">
    <w:name w:val="spcol21"/>
    <w:basedOn w:val="7"/>
    <w:uiPriority w:val="0"/>
  </w:style>
  <w:style w:type="character" w:customStyle="1" w:styleId="236">
    <w:name w:val="border"/>
    <w:basedOn w:val="7"/>
    <w:uiPriority w:val="0"/>
  </w:style>
  <w:style w:type="character" w:customStyle="1" w:styleId="237">
    <w:name w:val="bsharetext"/>
    <w:basedOn w:val="7"/>
    <w:uiPriority w:val="0"/>
  </w:style>
  <w:style w:type="character" w:customStyle="1" w:styleId="238">
    <w:name w:val="sg_txtc"/>
    <w:basedOn w:val="7"/>
    <w:uiPriority w:val="0"/>
  </w:style>
  <w:style w:type="character" w:customStyle="1" w:styleId="239">
    <w:name w:val="mico_wd1"/>
    <w:basedOn w:val="7"/>
    <w:uiPriority w:val="0"/>
  </w:style>
  <w:style w:type="character" w:customStyle="1" w:styleId="240">
    <w:name w:val="sg_dot17"/>
    <w:basedOn w:val="7"/>
    <w:uiPriority w:val="0"/>
  </w:style>
  <w:style w:type="character" w:customStyle="1" w:styleId="241">
    <w:name w:val="blog_evaluation4"/>
    <w:basedOn w:val="7"/>
    <w:uiPriority w:val="0"/>
  </w:style>
  <w:style w:type="character" w:customStyle="1" w:styleId="242">
    <w:name w:val="htit"/>
    <w:basedOn w:val="7"/>
    <w:uiPriority w:val="0"/>
    <w:rPr>
      <w:bdr w:val="none" w:color="auto" w:sz="0" w:space="0"/>
    </w:rPr>
  </w:style>
  <w:style w:type="character" w:customStyle="1" w:styleId="243">
    <w:name w:val="htit1"/>
    <w:basedOn w:val="7"/>
    <w:uiPriority w:val="0"/>
    <w:rPr>
      <w:color w:val="999999"/>
    </w:rPr>
  </w:style>
  <w:style w:type="character" w:customStyle="1" w:styleId="244">
    <w:name w:val="sg_dot"/>
    <w:basedOn w:val="7"/>
    <w:uiPriority w:val="0"/>
  </w:style>
  <w:style w:type="character" w:customStyle="1" w:styleId="245">
    <w:name w:val="sg_dot1"/>
    <w:basedOn w:val="7"/>
    <w:uiPriority w:val="0"/>
    <w:rPr>
      <w:bdr w:val="none" w:color="auto" w:sz="0" w:space="0"/>
    </w:rPr>
  </w:style>
  <w:style w:type="character" w:customStyle="1" w:styleId="246">
    <w:name w:val="sg_dot2"/>
    <w:basedOn w:val="7"/>
    <w:uiPriority w:val="0"/>
    <w:rPr>
      <w:bdr w:val="none" w:color="auto" w:sz="0" w:space="0"/>
    </w:rPr>
  </w:style>
  <w:style w:type="character" w:customStyle="1" w:styleId="247">
    <w:name w:val="sg_dot3"/>
    <w:basedOn w:val="7"/>
    <w:uiPriority w:val="0"/>
  </w:style>
  <w:style w:type="character" w:customStyle="1" w:styleId="248">
    <w:name w:val="sg_txtb4"/>
    <w:basedOn w:val="7"/>
    <w:uiPriority w:val="0"/>
    <w:rPr>
      <w:rFonts w:hint="eastAsia" w:ascii="宋体" w:hAnsi="宋体" w:eastAsia="宋体" w:cs="宋体"/>
    </w:rPr>
  </w:style>
  <w:style w:type="character" w:customStyle="1" w:styleId="249">
    <w:name w:val="sg_txtb5"/>
    <w:basedOn w:val="7"/>
    <w:uiPriority w:val="0"/>
    <w:rPr>
      <w:sz w:val="18"/>
      <w:szCs w:val="18"/>
    </w:rPr>
  </w:style>
  <w:style w:type="character" w:customStyle="1" w:styleId="250">
    <w:name w:val="spcol12"/>
    <w:basedOn w:val="7"/>
    <w:uiPriority w:val="0"/>
  </w:style>
  <w:style w:type="character" w:customStyle="1" w:styleId="251">
    <w:name w:val="sg_txtb6"/>
    <w:basedOn w:val="7"/>
    <w:uiPriority w:val="0"/>
    <w:rPr>
      <w:rFonts w:hint="eastAsia" w:ascii="宋体" w:hAnsi="宋体" w:eastAsia="宋体" w:cs="宋体"/>
    </w:rPr>
  </w:style>
  <w:style w:type="character" w:customStyle="1" w:styleId="252">
    <w:name w:val="sg_dot12"/>
    <w:basedOn w:val="7"/>
    <w:uiPriority w:val="0"/>
  </w:style>
  <w:style w:type="character" w:customStyle="1" w:styleId="253">
    <w:name w:val="sg_dot13"/>
    <w:basedOn w:val="7"/>
    <w:uiPriority w:val="0"/>
    <w:rPr>
      <w:bdr w:val="none" w:color="auto" w:sz="0" w:space="0"/>
    </w:rPr>
  </w:style>
  <w:style w:type="character" w:customStyle="1" w:styleId="254">
    <w:name w:val="spcol3"/>
    <w:basedOn w:val="7"/>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2016-08-11T03:29:08Z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