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国务院关于加快棚户区改造工作的意见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国发〔2013〕25号</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棚户区改造是重大的民生工程和发展工程。2008年以来，各地区、各有关部门贯彻落实党中央、国务院决策部署，将棚户区改造纳入城镇保障性安居工程，大规模推进实施。2008年至2012年，全国改造各类棚户区1260万户，有效改善了困难群众住房条件，缓解了城市内部二元矛盾，提升了城镇综合承载能力，促进了经济增长与社会和谐。但也要看到，目前仍有部分群众居住在棚户区中。这些棚户区住房简陋，环境较差，安全隐患多，改造难度大。为进一步加大棚户区改造力度，让更多困难群众的住房条件早日得到改善，同时，有效拉动投资、消费需求，带动相关产业发展，推进以人为核心的新型城镇化建设，发挥助推经济实现持续健康发展和民生不断改善的积极效应，现提出以下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总体要求。以邓小平理论、“三个代表”重要思想、科学发展观为指导，适应城镇化发展的需要，以改善群众住房条件作为出发点和落脚点，加快推进各类棚户区改造，重点推进资源枯竭型城市及独立工矿棚户区、三线企业集中地区的棚户区改造，稳步实施城中村改造。2013年至2017年改造各类棚户区1000万户，使居民住房条件明显改善，基础设施和公共服务设施建设水平不断提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科学规划，分步实施。要根据当地经济社会发展水平和政府财政能力，结合城市规划、土地利用规划和保障性住房建设规划，合理确定各类棚户区改造的目标任务，量力而行、逐步推进，先改造成片棚户区、再改造其他棚户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政府主导，市场运作。棚户区改造政策性、公益性强，必须发挥政府的组织引导作用，在政策和资金等方面给予积极支持；注重发挥市场机制的作用，充分调动企业和棚户区居民的积极性，动员社会力量广泛参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因地制宜，注重实效。要按照小户型、齐功能、配套好、质量高、安全可靠的要求，科学利用空间，有效满足基本居住功能。坚持整治与改造相结合，合理界定改造范围。对规划保留的建筑，主要进行房屋维修加固、完善配套设施、环境综合整治和建筑节能改造。要重视维护城市传统风貌特色，保护历史文化街区、历史建筑以及不可移动文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完善配套，同步建设。坚持同步规划、同步施工、同步交付使用，组织好新建安置小区的供水、供电、供气、供热、通讯、污水与垃圾处理等市政基础设施和商业、教育、医疗卫生、无障碍设施等配套公共服务设施的建设，促进以改善民生为重点的社会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二、全面推进各类棚户区改造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城市棚户区改造。2013年至2017年五年改造城市棚户区800万户，其中，2013年改造232万户。在加快推进集中成片城市棚户区改造的基础上，各地区要逐步将其他棚户区、城中村改造，统一纳入城市棚户区改造范围，稳步、有序推进。市、县人民政府应结合当地实际，合理界定城市棚户区具体改造范围。禁止将因城市道路拓展、历史街区保护、文物修缮等带来的房屋拆迁改造项目纳入城市棚户区改造范围。城市棚户区改造可采取拆除新建、改建（扩建、翻建）等多种方式。要加快城镇旧住宅区综合整治，加强环境综合整治和房屋维修改造，完善使用功能和配套设施。在改造中可建设一定数量的租赁型保障房，统筹用于符合条件的保障家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国有工矿棚户区改造。五年改造国有工矿（含煤矿）棚户区90万户，其中，2013年改造17万户。位于城市规划区内的国有工矿棚户区，要统一纳入城市棚户区改造范围。铁路、钢铁、有色、黄金等行业棚户区，要按照属地原则纳入各地棚户区改造规划组织实施。国有工矿（煤矿）各级行业主管部门，要加强对棚户区改造工作的监督指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国有林区棚户区改造。五年改造国有林区棚户区和国有林场危旧房30万户，其中，2013年改造18万户。对国有林区（场）之外的其他林业基层单位符合条件的住房困难职工，纳入当地城镇住房保障体系统筹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国有垦区危房改造。五年改造国有垦区危房80万户，其中，2013年改造37万户。要优化垦区危房改造布局，方便生产生活，促进产业发展和小城镇建设。将华侨农场非归难侨危房改造，统一纳入国有垦区危房改造中央补助支持范围，加快实施改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三、加大政策支持力度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（一）多渠道筹措资金。要采取增加财政补助、加大银行信贷支持、吸引民间资本参与、扩大债券融资、企业和群众自筹等办法筹集资金。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加大各级政府资金支持。中央加大对棚户区改造的补助，对财政困难地区予以倾斜。省级人民政府也要相应加大补助力度。市、县人民政府应切实加大棚户区改造的资金投入，可以从城市维护建设税、城镇公用事业附加、城市基础设施配套费、土地出让收入等渠道中，安排资金用于棚户区改造支出。各地区除上述资金渠道外，还可以从国有资本经营预算中适当安排部分资金用于国有企业棚户区改造。有条件的市、县可对棚户区改造项目给予贷款贴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加大信贷支持。各银行业金融机构要按照风险可控、商业可持续原则，创新金融产品，改善金融服务，积极支持棚户区改造，增加棚户区改造信贷资金安排，向符合条件的棚户区改造项目提供贷款。各地区要建立健全棚户区改造贷款还款保障机制，积极吸引信贷资金支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鼓励民间资本参与改造。鼓励和引导民间资本根据保障性安居工程任务安排，通过直接投资、间接投资、参股、委托代建等多种方式参与棚户区改造。要积极落实民间资本参与棚户区改造的各项支持政策，消除民间资本参与棚户区改造的政策障碍，加强指导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规范利用企业债券融资。符合规定的地方政府融资平台公司、承担棚户区改造项目的企业可发行企业债券或中期票据，专项用于棚户区改造项目。对发行企业债券用于棚户区改造的，优先办理核准手续，加快审批速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5.加大企业改造资金投入。鼓励企业出资参与棚户区改造，加大改造投入。企业参与政府统一组织的工矿（含中央下放煤矿）棚户区改造、林区棚户区改造、垦区危房改造的，对企业用于符合规定条件的支出，准予在企业所得税前扣除。要充分调动企业职工积极性，积极参与改造，合理承担安置住房建设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确保建设用地供应。棚户区改造安置住房用地纳入当地土地供应计划优先安排，并简化行政审批流程，提高审批效率。安置住房中涉及的经济适用住房、廉租住房和符合条件的公共租赁住房建设项目可以通过划拨方式供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落实税费减免政策。对棚户区改造项目，免征城市基础设施配套费等各种行政事业性收费和政府性基金。落实好棚户区改造安置住房税收优惠政策，将优惠范围由城市和国有工矿棚户区扩大到国有林区、垦区棚户区。电力、通讯、市政公用事业等企业要对棚户区改造给予支持，适当减免入网、管网增容等经营性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完善安置补偿政策。棚户区改造实行实物安置和货币补偿相结合，由棚户区居民自愿选择。各地区要按国家有关规定制定具体安置补偿办法，禁止强拆强迁，依法维护群众合法权益。对经济困难、无力购买安置住房的棚户区居民，可以通过提供租赁型保障房等方式满足其基本居住需求，或在符合有关政策规定的条件下，纳入当地住房保障体系统筹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四、提高规划建设水平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优化规划布局。棚户区改造安置住房实行原地和异地建设相结合，优先考虑就近安置；异地安置的，要充分考虑居民就业、就医、就学、出行等需要，合理规划选址，尽可能安排在交通便利、配套设施齐全地段。要贯彻节能、节地、环保的原则，严格控制套型面积，落实节约集约用地和节能减排各项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完善配套基础设施建设。棚户区改造项目要按照有关规定规划建设相应的商业和综合服务设施。各级政府要拓宽融资渠道，加大投入力度，加快配套基础设施和公共服务设施的规划、建设和竣工交付进度。要加强安置住房管理，完善社区公共服务，确保居民安居乐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确保工程质量安全。要落实工程质量责任，严格执行基本建设程序和标准规范，特别是抗震设防等强制性标准。严格建筑材料验核制度，防止假冒伪劣建筑材料流入建筑工地。健全项目信息公开制度。项目法人对住房质量负终身责任。勘察、设计、施工、监理等单位依法对建设工程质量负相应责任，积极推行单位负责人和项目负责人终身负责制。推广工程质量责任标牌，公示相关参建单位和负责人，接受社会监督。贯彻落实绿色建筑行动方案，积极执行绿色建筑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五、加强组织领导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强化地方各级政府责任。各地区要进一步提高认识，继续加大棚户区改造工作力度。省级人民政府对本地区棚户区改造工作负总责，按要求抓紧编制2013年至2017年棚户区改造规划，落实年度建设计划，加强目标责任考核。市、县人民政府要明确具体工作责任和措施，扎实做好棚户区改造的组织工作，特别是要依法依规安置补偿，切实做到规划到位、资金到位、供地到位、政策到位、监管到位、分配补偿到位。要加强信息公开，引导社会舆论，主动发布和准确解读政策措施，及时反映工作进展情况。广泛宣传棚户区改造的重要意义，尊重群众意愿，深入细致做好群众工作，积极引导棚户区居民参与改造，为推进棚户区改造营造良好社会氛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明确各部门职责。住房城乡建设部会同有关部门督促各地尽快编制棚户区改造规划，将任务分解到年度，落实到市、县，明确到具体项目和建设地块；加强协调指导，抓好建设进度、工程质量等工作。财政部、发展改革委会同有关部门研究加大中央资金补助力度。人民银行、银监会研究政策措施，引导银行业金融机构继续加大信贷支持力度。国土资源部负责完善土地供应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加强监督检查。监察部、住房城乡建设部等有关部门要建立有效的督查制度，定期对地方棚户区改造工作进行全面督促检查；各地区要加强对棚户区改造的监督检查，全面落实工作任务和各项政策措施，严禁企事业单位借棚户区改造政策建设福利性住房。对资金土地不落实、政策措施不到位、建设进度缓慢、质量安全问题突出的地方政府负责人进行约谈，限期进行整改。对在棚户区改造及安置住房建设、分配和管理过程中滥用职权、玩忽职守、徇私舞弊、失职渎职的行政机关及其工作人员，要依法依纪追究责任；涉嫌犯罪的，移送司法机关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2013年7月4日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lang w:val="en-US" w:eastAsia="zh-CN"/>
        </w:rPr>
      </w:pPr>
      <w:r>
        <w:rPr>
          <w:rFonts w:hint="eastAsia"/>
          <w:lang w:val="en-US" w:eastAsia="zh-CN"/>
        </w:rPr>
        <w:t>　　（此件公开发布）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5A613CE"/>
    <w:rsid w:val="06273D2F"/>
    <w:rsid w:val="066B5EED"/>
    <w:rsid w:val="0826101C"/>
    <w:rsid w:val="083246F7"/>
    <w:rsid w:val="083B2E68"/>
    <w:rsid w:val="08673D2A"/>
    <w:rsid w:val="0A4159F4"/>
    <w:rsid w:val="0B153B11"/>
    <w:rsid w:val="0BFA61F5"/>
    <w:rsid w:val="0EEA215A"/>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D063590"/>
    <w:rsid w:val="2E287751"/>
    <w:rsid w:val="349458E8"/>
    <w:rsid w:val="36591A23"/>
    <w:rsid w:val="36EA50A7"/>
    <w:rsid w:val="37675DCC"/>
    <w:rsid w:val="37C1347B"/>
    <w:rsid w:val="37F33122"/>
    <w:rsid w:val="384713D2"/>
    <w:rsid w:val="39B90915"/>
    <w:rsid w:val="39E113F5"/>
    <w:rsid w:val="39E31CC0"/>
    <w:rsid w:val="3B2F6EF7"/>
    <w:rsid w:val="3B3C4D54"/>
    <w:rsid w:val="3C223D18"/>
    <w:rsid w:val="3CCB793B"/>
    <w:rsid w:val="3CDF67F3"/>
    <w:rsid w:val="3D961312"/>
    <w:rsid w:val="3D9A530C"/>
    <w:rsid w:val="3F6948B7"/>
    <w:rsid w:val="41193F13"/>
    <w:rsid w:val="41F439C1"/>
    <w:rsid w:val="4300194F"/>
    <w:rsid w:val="4B4F1F4F"/>
    <w:rsid w:val="4C710BC2"/>
    <w:rsid w:val="4D6C2539"/>
    <w:rsid w:val="4D765109"/>
    <w:rsid w:val="4EFF5BB2"/>
    <w:rsid w:val="50F85696"/>
    <w:rsid w:val="52AE776A"/>
    <w:rsid w:val="552A4C57"/>
    <w:rsid w:val="56655F3F"/>
    <w:rsid w:val="572040A1"/>
    <w:rsid w:val="575C6B12"/>
    <w:rsid w:val="58FB26A1"/>
    <w:rsid w:val="5AF06815"/>
    <w:rsid w:val="5CEA6EFD"/>
    <w:rsid w:val="5E834B06"/>
    <w:rsid w:val="5F8A2E86"/>
    <w:rsid w:val="5FFD6D65"/>
    <w:rsid w:val="6080698E"/>
    <w:rsid w:val="635C2451"/>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2016-08-15T04:58:14Z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