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关于做好政府购买养老服务工作的通知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财社[2014]105号</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各省、自治区、直辖市、计划单列市财政厅（局）、发展改革委、民政厅（局）、老龄办，新疆生产建设兵团财务局、发展改革委、民政局、老龄办：</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为贯彻党的十八届三中全会关于推广政府购买服务的战略部署，落实《国务院关于加快发展养老服务业的若干意见》（国发〔2013〕35号）和《国务院办公厅关于政府向社会力量购买服务的指导意见》（国办发〔2013〕96号），加快推进政府购买养老服务工作，现就有关问题通知如下：</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一、把握政府购买养老服务的基本原则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一）坚持需求导向，注重创新机制。以老年人基本养老服务需求为导向，将政府购买服务与满足老年人基本养老服务需求相结合，重点安排与老年人生活照料、康复护理等密切相关的项目，优先保障经济困难的孤寡、失能、高龄等老年人的服务需求，加大对基层和农村养老服务的支持，并逐步拓展政府购买养老服务的领域和范围。立足各地经济社会发展实际，积极探索，不断创新政府购买养老服务机制，改进购买服务的方式方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二）坚持政府引导，培育市场主体。政府要加强对购买养老服务的组织领导、制度设计、政策支持、财政投入和监督管理。充分发挥市场配置资源的决定性作用，将推进政府购买养老服务与逐步使社会力量成为发展养老服务业的主体相结合，与培育专业化养老服务组织相结合，按照公开、公平、公正原则，坚持费随事转，通过竞争择优的方式选择承接政府购买养老服务的社会力量，确保具备条件的社会力量平等参与竞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三）坚持规范操作，注重绩效评估。明确各方责任、权利和义务，建立以项目申报、项目评审、资质审核、组织采购、合同签订、项目监管、绩效评估等为主要内容的规范化购买流程，有序开展工作。加强绩效管理，建立评估机制和动态调整机制，降低成本，提高效率，增强政府购买养老服务的针对性和有效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四）坚持体制创新，完善政策体系。要做好相关政策的完善和相互衔接，推进政事分开、政社分开，坚持与事业单位改革相衔接，推进管办分离，放开市场准入。凡社会能够提供的养老服务，尽可能交给社会力量承担。要及时总结行之有效的管理办法和政策措施，尽快形成各方衔接配套、操作性强的政府购买养老服务政策体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二、明确政府购买养老服务的工作目标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十二五”时期，政府购买养老服务工作有序推开，相关制度建设取得有效进展。到2020年，基本建立比较完善的政府购买养老服务制度，促进形成与经济社会发展相适应、高效合理的养老服务资源配置机制和供给机制，支持和参与养老服务的社会氛围更加浓厚，养老服务水平和质量显著提高，推动建成功能完善、规模适度、覆盖城乡的养老服务体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三、积极有序地开展政府购买养老服务工作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一）明确购买主体。政府购买养老服务的主体是承担养老服务的各级行政机关和参照公务员法管理、具有行政管理职能的事业单位。纳入行政编制管理且经费由财政负担的群团组织，也可根据实际需要，通过购买服务方式提供养老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二）界定承接主体。各地可根据国办发〔2013〕96号文件确定的原则和养老服务的要求，规定承接主体的具体条件。购买工作应按照政府采购法律制度规定，根据服务项目的采购需求特点，选择适用采购方式确定承接主体，严禁转包行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三）确定购买内容。政府购买养老服务内容应突出公共性和公益性，按照量力而行、尽力而为、可持续的原则确定。各地要全面梳理现行由财政支出安排的各类养老服务项目，凡适合市场化方式提供、社会力量能够承担的，应按照转变政府职能要求，通过政府购买服务方式提供方便可及、价格合理的养老服务。要根据养老服务的性质、对象、特点和地方实际情况，重点选取生活照料、康复护理和养老服务人员培养等方面开展政府购买服务工作。在购买居家养老服务方面，主要包括为符合政府资助条件的老年人购买助餐、助浴、助洁、助急、助医、护理等上门服务，以及养老服务网络信息建设；在购买社区养老服务方面，主要包括为老年人购买社区日间照料、老年康复文体活动等服务；在购买机构养老服务方面，主要为“三无”（无劳动能力，无生活来源，无赡养人和扶养人或者其赡养人和扶养人确无赡养和扶养能力）老人、低收入老人、经济困难的失能半失能老人购买机构供养、护理服务；在购买养老服务人员培养方面，主要包括为养老护理人员购买职业培训、职业教育和继续教育等；在养老评估方面，主要包括老年人能力评估和服务需求评估的组织实施、养老服务评价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各地要根据养老服务的项目范围，结合本地经济社会发展水平、财政承受能力和老年人基本服务需求，制定政府购买养老服务的指导性目录，明确服务种类、性质和内容，细化目录清单，并根据实际情况变化，及时进行动态调整。对不属于政府职责范围内的服务项目，政府不得向社会力量购买。</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四）规范服务标准。各地应根据所购买养老服务的项目特点，制定统一明确、操作性强、便于考核的基本服务标准，方便承接主体掌握，便于购买主体监管。购买主体要及时对服务标准的执行情况进行梳理，总结经验，逐步完善服务标准体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（五）提供资金保障。政府购买养老服务资金在现有养老支出预算安排中统筹考虑。对于新增的养老服务内容，地方各级财政要在科学测算养老服务项目和补助标准基础上，列入同级财政预算。</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六）健全监管机制。各地要加强政府购买养老服务的监督管理，完善事前、事中和事后监管体系，要严格遵守相关财政财务管理规定，确保政府购买养老服务资金规范管理和使用，不得截留、挪用和滞留。购买主体要严格按照政府购买服务的操作规程，公平、公正、公开选择承接主体，建立健全内部监督管理制度，按规定公开购买服务相关信息，自觉接受社会监督。承接主体应健全财务制度，严格按照服务合同履行服务任务，保障服务数量、质量和效果。服务完成后，购买主体应委托第三方独立审计机构对金额较大、服务对象较多的项目进行审计，并出具审计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七）加强绩效评价。各地要建立健全由购买主体、养老服务对象以及第三方组成的综合评审机制，加强购买养老服务项目绩效评价。在绩效评价体系中，要更侧重受益对象对养老服务的满意度评价。政府购买养老服务的绩效评价结果要向社会公布，并作为政府选择购买养老服务承接主体、编制以后年度政府购买养老服务项目与预算的重要参考依据，建立承接主体的动态调整机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四、落实政府购买养老服务的工作责任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各地要高度重视政府购买养老服务工作，要建立健全政府统一领导、财政部门牵头、民政等有关职能部门协同、社会广泛参与的工作机制。财政部门和其他政府职能部门要加强对不同地区、不同项目、不同服务的分类指导工作，定期研究政府购买养老服务的重要事项，及时发现、研究和解决工作中出现的问题。同时，要充分利用各种宣传媒体，广泛宣传实施政府购买养老服务工作的重要意义、主要内容、政策措施，充分调动社会参与的积极性，为推进养老服务工作营造良好的舆论氛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国家发展改革委员会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民政部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全国老龄工作委员会办公室</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2014年8月26日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Helv">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entury">
    <w:altName w:val="Times New Roman"/>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方正细圆简体">
    <w:altName w:val="微软雅黑"/>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Comic Sans MS">
    <w:panose1 w:val="030F0702030302020204"/>
    <w:charset w:val="00"/>
    <w:family w:val="auto"/>
    <w:pitch w:val="default"/>
    <w:sig w:usb0="00000287" w:usb1="40000013" w:usb2="00000000" w:usb3="00000000" w:csb0="2000009F" w:csb1="00000000"/>
  </w:font>
  <w:font w:name="Impact">
    <w:panose1 w:val="020B0806030902050204"/>
    <w:charset w:val="00"/>
    <w:family w:val="auto"/>
    <w:pitch w:val="default"/>
    <w:sig w:usb0="00000287" w:usb1="00000000" w:usb2="00000000" w:usb3="00000000" w:csb0="2000009F" w:csb1="DFD70000"/>
  </w:font>
  <w:font w:name="Webdings">
    <w:panose1 w:val="05030102010509060703"/>
    <w:charset w:val="00"/>
    <w:family w:val="auto"/>
    <w:pitch w:val="default"/>
    <w:sig w:usb0="00000000" w:usb1="00000000" w:usb2="00000000" w:usb3="00000000" w:csb0="8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Matisse ITC">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方正胖娃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1744BC"/>
    <w:rsid w:val="02622662"/>
    <w:rsid w:val="05A613CE"/>
    <w:rsid w:val="06273D2F"/>
    <w:rsid w:val="066B5EED"/>
    <w:rsid w:val="0826101C"/>
    <w:rsid w:val="083246F7"/>
    <w:rsid w:val="083B2E68"/>
    <w:rsid w:val="08673D2A"/>
    <w:rsid w:val="0A4159F4"/>
    <w:rsid w:val="0B153B11"/>
    <w:rsid w:val="0BFA61F5"/>
    <w:rsid w:val="0D152D60"/>
    <w:rsid w:val="0E0763AE"/>
    <w:rsid w:val="0EEA215A"/>
    <w:rsid w:val="11F93B1C"/>
    <w:rsid w:val="11FA38F5"/>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7FE23BA"/>
    <w:rsid w:val="28461F24"/>
    <w:rsid w:val="28740BB5"/>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C9E2734"/>
    <w:rsid w:val="4D6C2539"/>
    <w:rsid w:val="4D765109"/>
    <w:rsid w:val="4D8205C0"/>
    <w:rsid w:val="4EFF5BB2"/>
    <w:rsid w:val="4FFB2590"/>
    <w:rsid w:val="50F85696"/>
    <w:rsid w:val="52002F80"/>
    <w:rsid w:val="52AE776A"/>
    <w:rsid w:val="53BE3088"/>
    <w:rsid w:val="54D6631B"/>
    <w:rsid w:val="552A4C57"/>
    <w:rsid w:val="56655F3F"/>
    <w:rsid w:val="572040A1"/>
    <w:rsid w:val="575C6B12"/>
    <w:rsid w:val="58EE3D94"/>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 w:type="character" w:customStyle="1" w:styleId="187">
    <w:name w:val="data"/>
    <w:basedOn w:val="7"/>
    <w:uiPriority w:val="0"/>
    <w:rPr>
      <w:rFonts w:hint="eastAsia" w:ascii="宋体" w:hAnsi="宋体" w:eastAsia="宋体" w:cs="宋体"/>
      <w:color w:val="595757"/>
      <w:sz w:val="27"/>
      <w:szCs w:val="27"/>
    </w:rPr>
  </w:style>
  <w:style w:type="character" w:customStyle="1" w:styleId="188">
    <w:name w:val="data1"/>
    <w:basedOn w:val="7"/>
    <w:uiPriority w:val="0"/>
    <w:rPr>
      <w:rFonts w:hint="eastAsia" w:ascii="宋体" w:hAnsi="宋体" w:eastAsia="宋体" w:cs="宋体"/>
      <w:color w:val="595757"/>
      <w:sz w:val="22"/>
      <w:szCs w:val="22"/>
    </w:rPr>
  </w:style>
  <w:style w:type="character" w:customStyle="1" w:styleId="189">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2016-08-15T07:29:22Z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