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关于鼓励民间资本参与养老服务业发展的实施意见</w:t>
      </w:r>
    </w:p>
    <w:p>
      <w:pPr>
        <w:jc w:val="center"/>
        <w:rPr>
          <w:rFonts w:hint="eastAsia"/>
          <w:lang w:val="en-US" w:eastAsia="zh-CN"/>
        </w:rPr>
      </w:pPr>
      <w:r>
        <w:rPr>
          <w:rFonts w:hint="eastAsia"/>
          <w:lang w:val="en-US" w:eastAsia="zh-CN"/>
        </w:rPr>
        <w:br w:type="textWrapping"/>
      </w:r>
      <w:r>
        <w:rPr>
          <w:rFonts w:hint="eastAsia"/>
          <w:lang w:val="en-US" w:eastAsia="zh-CN"/>
        </w:rPr>
        <w:t>民政部、发展改革委、教育部、财政部、人力资源社会保障部、国土资源部、住房城乡建设部、国家卫生计生委、银监会、保监会关于鼓励民间资本参与养老服务业发展的实施意见</w:t>
      </w:r>
      <w:r>
        <w:rPr>
          <w:rFonts w:hint="eastAsia"/>
          <w:lang w:val="en-US" w:eastAsia="zh-CN"/>
        </w:rPr>
        <w:br w:type="textWrapping"/>
      </w:r>
      <w:r>
        <w:rPr>
          <w:rFonts w:hint="eastAsia"/>
          <w:lang w:val="en-US" w:eastAsia="zh-CN"/>
        </w:rPr>
        <w:br w:type="textWrapping"/>
      </w:r>
      <w:r>
        <w:rPr>
          <w:rFonts w:hint="eastAsia"/>
          <w:lang w:val="en-US" w:eastAsia="zh-CN"/>
        </w:rPr>
        <w:t>民发〔2015〕33号</w:t>
      </w:r>
      <w:r>
        <w:rPr>
          <w:rFonts w:hint="eastAsia"/>
          <w:lang w:val="en-US" w:eastAsia="zh-CN"/>
        </w:rPr>
        <w:br w:type="textWrapping"/>
      </w:r>
    </w:p>
    <w:p>
      <w:pPr>
        <w:rPr>
          <w:rFonts w:hint="eastAsia"/>
          <w:lang w:val="en-US" w:eastAsia="zh-CN"/>
        </w:rPr>
      </w:pPr>
      <w:bookmarkStart w:id="0" w:name="_GoBack"/>
      <w:bookmarkEnd w:id="0"/>
      <w:r>
        <w:rPr>
          <w:rFonts w:hint="eastAsia"/>
          <w:lang w:val="en-US" w:eastAsia="zh-CN"/>
        </w:rPr>
        <w:br w:type="textWrapping"/>
      </w:r>
      <w:r>
        <w:rPr>
          <w:rFonts w:hint="eastAsia"/>
          <w:lang w:val="en-US" w:eastAsia="zh-CN"/>
        </w:rPr>
        <w:t>各省、自治区、直辖市民政厅（局）、发展改革委、教育厅（局）、财政厅（局）、人力资源社会保障厅（局）、国土资源厅（局）、住房城乡建设厅（局），卫生计生委、银监局、保监局，各计划单列市民政局、发展改革委、教育局、财政局、人力资源社会保障局、国土资源局、住房城乡建设局、卫生局、银监局、保监局，新疆生产建设兵团民政局、发展改革委、教育局、财政局、人力资源社会保障局、国土资源局、住房城乡建设局、卫生局：</w:t>
      </w:r>
      <w:r>
        <w:rPr>
          <w:rFonts w:hint="eastAsia"/>
          <w:lang w:val="en-US" w:eastAsia="zh-CN"/>
        </w:rPr>
        <w:br w:type="textWrapping"/>
      </w:r>
      <w:r>
        <w:rPr>
          <w:rFonts w:hint="eastAsia"/>
          <w:lang w:val="en-US" w:eastAsia="zh-CN"/>
        </w:rPr>
        <w:br w:type="textWrapping"/>
      </w:r>
      <w:r>
        <w:rPr>
          <w:rFonts w:hint="eastAsia"/>
          <w:lang w:val="en-US" w:eastAsia="zh-CN"/>
        </w:rPr>
        <w:t>　　根据《国务院关于加快发展养老服务业的若干意见》（国发〔2013〕35号）精神，为了充分发挥市场在资源配置中的决定性作用和更好地发挥政府作用，逐步使社会力量成为发展养老服务业的主体，现就鼓励民间资本参与养老服务业发展，提出如下意见。</w:t>
      </w:r>
      <w:r>
        <w:rPr>
          <w:rFonts w:hint="eastAsia"/>
          <w:lang w:val="en-US" w:eastAsia="zh-CN"/>
        </w:rPr>
        <w:br w:type="textWrapping"/>
      </w:r>
      <w:r>
        <w:rPr>
          <w:rFonts w:hint="eastAsia"/>
          <w:lang w:val="en-US" w:eastAsia="zh-CN"/>
        </w:rPr>
        <w:br w:type="textWrapping"/>
      </w:r>
      <w:r>
        <w:rPr>
          <w:rFonts w:hint="eastAsia"/>
          <w:lang w:val="en-US" w:eastAsia="zh-CN"/>
        </w:rPr>
        <w:t>　　一、鼓励民间资本参与居家和社区养老服务</w:t>
      </w:r>
      <w:r>
        <w:rPr>
          <w:rFonts w:hint="eastAsia"/>
          <w:lang w:val="en-US" w:eastAsia="zh-CN"/>
        </w:rPr>
        <w:br w:type="textWrapping"/>
      </w:r>
      <w:r>
        <w:rPr>
          <w:rFonts w:hint="eastAsia"/>
          <w:lang w:val="en-US" w:eastAsia="zh-CN"/>
        </w:rPr>
        <w:br w:type="textWrapping"/>
      </w:r>
      <w:r>
        <w:rPr>
          <w:rFonts w:hint="eastAsia"/>
          <w:lang w:val="en-US" w:eastAsia="zh-CN"/>
        </w:rPr>
        <w:t>　　鼓励民间资本在城镇社区举办或运营老年人日间照料中心、老年人活动中心等养老服务设施，为有需求的老年人，特别是高龄、空巢、独居、生活困难的老年人，提供集中就餐、托养、助浴、健康、休闲和上门照护等服务，并协助做好老年人信息登记、身体状况评估等工作。符合民办非企业单位登记条件的居家和社区养老服务机构，可以依法登记为民办非企业单位，其他机构依法登记为企业。</w:t>
      </w:r>
      <w:r>
        <w:rPr>
          <w:rFonts w:hint="eastAsia"/>
          <w:lang w:val="en-US" w:eastAsia="zh-CN"/>
        </w:rPr>
        <w:br w:type="textWrapping"/>
      </w:r>
      <w:r>
        <w:rPr>
          <w:rFonts w:hint="eastAsia"/>
          <w:lang w:val="en-US" w:eastAsia="zh-CN"/>
        </w:rPr>
        <w:br w:type="textWrapping"/>
      </w:r>
      <w:r>
        <w:rPr>
          <w:rFonts w:hint="eastAsia"/>
          <w:lang w:val="en-US" w:eastAsia="zh-CN"/>
        </w:rPr>
        <w:t>　　通过政府购买服务、协调指导、评估认证等方式，鼓励民间资本举办家政服务企业、居家养老服务专业机构或企业，上门为居家老年人提供助餐、助浴、助洁、助急、助医等定制服务。积极引导有条件的居家养老服务企业实行规模化、网络化、品牌化经营，增加和扩大网点，提高养老服务的可及性。支持社区居家养老服务网点引入社会组织和家政、教育、物业服务等企业，兴办或运营形式多样的养老服务项目。鼓励专业居家养老机构对社区养老服务组织进行业务指导和人员培训。</w:t>
      </w:r>
      <w:r>
        <w:rPr>
          <w:rFonts w:hint="eastAsia"/>
          <w:lang w:val="en-US" w:eastAsia="zh-CN"/>
        </w:rPr>
        <w:br w:type="textWrapping"/>
      </w:r>
      <w:r>
        <w:rPr>
          <w:rFonts w:hint="eastAsia"/>
          <w:lang w:val="en-US" w:eastAsia="zh-CN"/>
        </w:rPr>
        <w:br w:type="textWrapping"/>
      </w:r>
      <w:r>
        <w:rPr>
          <w:rFonts w:hint="eastAsia"/>
          <w:lang w:val="en-US" w:eastAsia="zh-CN"/>
        </w:rPr>
        <w:t>　　 推进养老服务信息化建设，逐步实现对老年人信息的动态管理。支持民间资本运用互联网、物联网、云计算等技术手段，对接老年人服务需求和各类社会主体服务供给，发展面向养老机构的远程医疗服务，发展老年电子商务，为老年人提供紧急呼叫、家政预约、健康咨询、物品代购、服务缴费等服务项目。有条件的地方，可为居家老年人免费配置“一键通”等电子呼叫设备。</w:t>
      </w:r>
      <w:r>
        <w:rPr>
          <w:rFonts w:hint="eastAsia"/>
          <w:lang w:val="en-US" w:eastAsia="zh-CN"/>
        </w:rPr>
        <w:br w:type="textWrapping"/>
      </w:r>
      <w:r>
        <w:rPr>
          <w:rFonts w:hint="eastAsia"/>
          <w:lang w:val="en-US" w:eastAsia="zh-CN"/>
        </w:rPr>
        <w:br w:type="textWrapping"/>
      </w:r>
      <w:r>
        <w:rPr>
          <w:rFonts w:hint="eastAsia"/>
          <w:lang w:val="en-US" w:eastAsia="zh-CN"/>
        </w:rPr>
        <w:t>　　 二、鼓励民间资本参与机构养老服务</w:t>
      </w:r>
      <w:r>
        <w:rPr>
          <w:rFonts w:hint="eastAsia"/>
          <w:lang w:val="en-US" w:eastAsia="zh-CN"/>
        </w:rPr>
        <w:br w:type="textWrapping"/>
      </w:r>
      <w:r>
        <w:rPr>
          <w:rFonts w:hint="eastAsia"/>
          <w:lang w:val="en-US" w:eastAsia="zh-CN"/>
        </w:rPr>
        <w:br w:type="textWrapping"/>
      </w:r>
      <w:r>
        <w:rPr>
          <w:rFonts w:hint="eastAsia"/>
          <w:lang w:val="en-US" w:eastAsia="zh-CN"/>
        </w:rPr>
        <w:t>　　支持采取股份制、股份合作制、PPP（政府和民间资本合作）等模式建设或发展养老机构。</w:t>
      </w:r>
      <w:r>
        <w:rPr>
          <w:rFonts w:hint="eastAsia"/>
          <w:lang w:val="en-US" w:eastAsia="zh-CN"/>
        </w:rPr>
        <w:br w:type="textWrapping"/>
      </w:r>
      <w:r>
        <w:rPr>
          <w:rFonts w:hint="eastAsia"/>
          <w:lang w:val="en-US" w:eastAsia="zh-CN"/>
        </w:rPr>
        <w:br w:type="textWrapping"/>
      </w:r>
      <w:r>
        <w:rPr>
          <w:rFonts w:hint="eastAsia"/>
          <w:lang w:val="en-US" w:eastAsia="zh-CN"/>
        </w:rPr>
        <w:t>　　鼓励社会力量举办规模化、连锁化的养老机构，鼓励养老机构跨区联合、资源共享，发展异地互动养老，推动形成一批具有较强竞争力的养老机构。</w:t>
      </w:r>
      <w:r>
        <w:rPr>
          <w:rFonts w:hint="eastAsia"/>
          <w:lang w:val="en-US" w:eastAsia="zh-CN"/>
        </w:rPr>
        <w:br w:type="textWrapping"/>
      </w:r>
      <w:r>
        <w:rPr>
          <w:rFonts w:hint="eastAsia"/>
          <w:lang w:val="en-US" w:eastAsia="zh-CN"/>
        </w:rPr>
        <w:br w:type="textWrapping"/>
      </w:r>
      <w:r>
        <w:rPr>
          <w:rFonts w:hint="eastAsia"/>
          <w:lang w:val="en-US" w:eastAsia="zh-CN"/>
        </w:rPr>
        <w:t>　　支持机关、企事业单位将所属的度假村、培训中心、招待所、疗养院等转型为养老机构，支持民间资本对企业厂房、商业设施及其他可利用的社会资源进行整合和改造，用于养老服务。</w:t>
      </w:r>
      <w:r>
        <w:rPr>
          <w:rFonts w:hint="eastAsia"/>
          <w:lang w:val="en-US" w:eastAsia="zh-CN"/>
        </w:rPr>
        <w:br w:type="textWrapping"/>
      </w:r>
      <w:r>
        <w:rPr>
          <w:rFonts w:hint="eastAsia"/>
          <w:lang w:val="en-US" w:eastAsia="zh-CN"/>
        </w:rPr>
        <w:br w:type="textWrapping"/>
      </w:r>
      <w:r>
        <w:rPr>
          <w:rFonts w:hint="eastAsia"/>
          <w:lang w:val="en-US" w:eastAsia="zh-CN"/>
        </w:rPr>
        <w:t>　　鼓励将政府投资举办的养老机构特别是新建机构，在明晰产权的基础上，通过公开招投标，以承包、联营、合资、合作等方式，交由社会力量来运营，实现运行机制市场化。有条件的地方，可稳妥开展把专门面向社会提供经营性服务的公办养老机构转制成为企业或社会组织的试点工作，完善法人治理结构。</w:t>
      </w:r>
      <w:r>
        <w:rPr>
          <w:rFonts w:hint="eastAsia"/>
          <w:lang w:val="en-US" w:eastAsia="zh-CN"/>
        </w:rPr>
        <w:br w:type="textWrapping"/>
      </w:r>
      <w:r>
        <w:rPr>
          <w:rFonts w:hint="eastAsia"/>
          <w:lang w:val="en-US" w:eastAsia="zh-CN"/>
        </w:rPr>
        <w:br w:type="textWrapping"/>
      </w:r>
      <w:r>
        <w:rPr>
          <w:rFonts w:hint="eastAsia"/>
          <w:lang w:val="en-US" w:eastAsia="zh-CN"/>
        </w:rPr>
        <w:t>　　鼓励通过政府购买服务的方式，支持民办养老机构接收城乡特困人员或政府承担照料责任的其他老年人。</w:t>
      </w:r>
      <w:r>
        <w:rPr>
          <w:rFonts w:hint="eastAsia"/>
          <w:lang w:val="en-US" w:eastAsia="zh-CN"/>
        </w:rPr>
        <w:br w:type="textWrapping"/>
      </w:r>
      <w:r>
        <w:rPr>
          <w:rFonts w:hint="eastAsia"/>
          <w:lang w:val="en-US" w:eastAsia="zh-CN"/>
        </w:rPr>
        <w:br w:type="textWrapping"/>
      </w:r>
      <w:r>
        <w:rPr>
          <w:rFonts w:hint="eastAsia"/>
          <w:lang w:val="en-US" w:eastAsia="zh-CN"/>
        </w:rPr>
        <w:t>　　 三、支持民间资本参与养老产业发展</w:t>
      </w:r>
      <w:r>
        <w:rPr>
          <w:rFonts w:hint="eastAsia"/>
          <w:lang w:val="en-US" w:eastAsia="zh-CN"/>
        </w:rPr>
        <w:br w:type="textWrapping"/>
      </w:r>
      <w:r>
        <w:rPr>
          <w:rFonts w:hint="eastAsia"/>
          <w:lang w:val="en-US" w:eastAsia="zh-CN"/>
        </w:rPr>
        <w:br w:type="textWrapping"/>
      </w:r>
      <w:r>
        <w:rPr>
          <w:rFonts w:hint="eastAsia"/>
          <w:lang w:val="en-US" w:eastAsia="zh-CN"/>
        </w:rPr>
        <w:t>　　鼓励和引导民间资本拓展适合老年人特点的文化娱乐、教育、体育健身、休闲旅游、健康服务、精神慰藉、法律维权等服务，加强对残障老年人专业化服务。</w:t>
      </w:r>
      <w:r>
        <w:rPr>
          <w:rFonts w:hint="eastAsia"/>
          <w:lang w:val="en-US" w:eastAsia="zh-CN"/>
        </w:rPr>
        <w:br w:type="textWrapping"/>
      </w:r>
      <w:r>
        <w:rPr>
          <w:rFonts w:hint="eastAsia"/>
          <w:lang w:val="en-US" w:eastAsia="zh-CN"/>
        </w:rPr>
        <w:br w:type="textWrapping"/>
      </w:r>
      <w:r>
        <w:rPr>
          <w:rFonts w:hint="eastAsia"/>
          <w:lang w:val="en-US" w:eastAsia="zh-CN"/>
        </w:rPr>
        <w:t>　　支持企业开发安全有效的康复辅具、食品药品、服装服饰等老年用品用具和服务产品，引导商场、超市、批发市场设立老年用品专区专柜，鼓励有条件的地区建立老年用品一条街或专业交易市场。鼓励已有电商平台完善服务功能，增加适应老年人消费需求及特点的商品和服务。</w:t>
      </w:r>
      <w:r>
        <w:rPr>
          <w:rFonts w:hint="eastAsia"/>
          <w:lang w:val="en-US" w:eastAsia="zh-CN"/>
        </w:rPr>
        <w:br w:type="textWrapping"/>
      </w:r>
      <w:r>
        <w:rPr>
          <w:rFonts w:hint="eastAsia"/>
          <w:lang w:val="en-US" w:eastAsia="zh-CN"/>
        </w:rPr>
        <w:br w:type="textWrapping"/>
      </w:r>
      <w:r>
        <w:rPr>
          <w:rFonts w:hint="eastAsia"/>
          <w:lang w:val="en-US" w:eastAsia="zh-CN"/>
        </w:rPr>
        <w:t>　　鼓励民间资本参与老年公寓和居住区养老服务设施建设以及既有住宅适老化改造。对按照《城市居住区规划设计规范》、《老年人居住建筑设计标准》等建设标准规划建设的适老住区和老年公寓项目中，其配套的符合独立登记条件的养老机构按规定享受相应的扶持政策。</w:t>
      </w:r>
      <w:r>
        <w:rPr>
          <w:rFonts w:hint="eastAsia"/>
          <w:lang w:val="en-US" w:eastAsia="zh-CN"/>
        </w:rPr>
        <w:br w:type="textWrapping"/>
      </w:r>
      <w:r>
        <w:rPr>
          <w:rFonts w:hint="eastAsia"/>
          <w:lang w:val="en-US" w:eastAsia="zh-CN"/>
        </w:rPr>
        <w:br w:type="textWrapping"/>
      </w:r>
      <w:r>
        <w:rPr>
          <w:rFonts w:hint="eastAsia"/>
          <w:lang w:val="en-US" w:eastAsia="zh-CN"/>
        </w:rPr>
        <w:t>　　扶持发展龙头企业，特别要发展居家养老服务企业，培育一批带动力强的龙头企业和知名度高的养老服务业品牌，形成一批产业链长、覆盖领域广、经济社会效益显著的产业集群。</w:t>
      </w:r>
      <w:r>
        <w:rPr>
          <w:rFonts w:hint="eastAsia"/>
          <w:lang w:val="en-US" w:eastAsia="zh-CN"/>
        </w:rPr>
        <w:br w:type="textWrapping"/>
      </w:r>
      <w:r>
        <w:rPr>
          <w:rFonts w:hint="eastAsia"/>
          <w:lang w:val="en-US" w:eastAsia="zh-CN"/>
        </w:rPr>
        <w:br w:type="textWrapping"/>
      </w:r>
      <w:r>
        <w:rPr>
          <w:rFonts w:hint="eastAsia"/>
          <w:lang w:val="en-US" w:eastAsia="zh-CN"/>
        </w:rPr>
        <w:t>　　引导和规范商业银行、保险公司、证券公司等金融机构开发适合老年人的理财、信贷、保险等产品。</w:t>
      </w:r>
      <w:r>
        <w:rPr>
          <w:rFonts w:hint="eastAsia"/>
          <w:lang w:val="en-US" w:eastAsia="zh-CN"/>
        </w:rPr>
        <w:br w:type="textWrapping"/>
      </w:r>
      <w:r>
        <w:rPr>
          <w:rFonts w:hint="eastAsia"/>
          <w:lang w:val="en-US" w:eastAsia="zh-CN"/>
        </w:rPr>
        <w:br w:type="textWrapping"/>
      </w:r>
      <w:r>
        <w:rPr>
          <w:rFonts w:hint="eastAsia"/>
          <w:lang w:val="en-US" w:eastAsia="zh-CN"/>
        </w:rPr>
        <w:t>　　 四、推进医养融合发展</w:t>
      </w:r>
      <w:r>
        <w:rPr>
          <w:rFonts w:hint="eastAsia"/>
          <w:lang w:val="en-US" w:eastAsia="zh-CN"/>
        </w:rPr>
        <w:br w:type="textWrapping"/>
      </w:r>
      <w:r>
        <w:rPr>
          <w:rFonts w:hint="eastAsia"/>
          <w:lang w:val="en-US" w:eastAsia="zh-CN"/>
        </w:rPr>
        <w:br w:type="textWrapping"/>
      </w:r>
      <w:r>
        <w:rPr>
          <w:rFonts w:hint="eastAsia"/>
          <w:lang w:val="en-US" w:eastAsia="zh-CN"/>
        </w:rPr>
        <w:t>　　 支持有条件的养老机构内设医疗机构或与医疗卫生机构签订协议，为老年人提供优质便捷的医疗卫生服务。各级卫生计生行政部门要对养老机构设立医务室、护理站等医疗机构给予大力支持，积极提供便利；按规定进行设置审批和执业登记。</w:t>
      </w:r>
      <w:r>
        <w:rPr>
          <w:rFonts w:hint="eastAsia"/>
          <w:lang w:val="en-US" w:eastAsia="zh-CN"/>
        </w:rPr>
        <w:br w:type="textWrapping"/>
      </w:r>
      <w:r>
        <w:rPr>
          <w:rFonts w:hint="eastAsia"/>
          <w:lang w:val="en-US" w:eastAsia="zh-CN"/>
        </w:rPr>
        <w:br w:type="textWrapping"/>
      </w:r>
      <w:r>
        <w:rPr>
          <w:rFonts w:hint="eastAsia"/>
          <w:lang w:val="en-US" w:eastAsia="zh-CN"/>
        </w:rPr>
        <w:t>　　养老机构内设医疗机构符合职工基本医疗保险、城镇居民基本医疗保险和新型农村合作医疗定点医疗机构条件的，要按规定申请纳入定点范围。在定点医疗机构发生的符合规定的医疗康复项目费用，可按规定纳入基本医疗保险支付范围。</w:t>
      </w:r>
      <w:r>
        <w:rPr>
          <w:rFonts w:hint="eastAsia"/>
          <w:lang w:val="en-US" w:eastAsia="zh-CN"/>
        </w:rPr>
        <w:br w:type="textWrapping"/>
      </w:r>
      <w:r>
        <w:rPr>
          <w:rFonts w:hint="eastAsia"/>
          <w:lang w:val="en-US" w:eastAsia="zh-CN"/>
        </w:rPr>
        <w:br w:type="textWrapping"/>
      </w:r>
      <w:r>
        <w:rPr>
          <w:rFonts w:hint="eastAsia"/>
          <w:lang w:val="en-US" w:eastAsia="zh-CN"/>
        </w:rPr>
        <w:t>　　扶持和发展护理型养老机构建设。对民间资本投资举办的护理型养老机构，在财政补贴等政策上要予以倾斜。</w:t>
      </w:r>
      <w:r>
        <w:rPr>
          <w:rFonts w:hint="eastAsia"/>
          <w:lang w:val="en-US" w:eastAsia="zh-CN"/>
        </w:rPr>
        <w:br w:type="textWrapping"/>
      </w:r>
      <w:r>
        <w:rPr>
          <w:rFonts w:hint="eastAsia"/>
          <w:lang w:val="en-US" w:eastAsia="zh-CN"/>
        </w:rPr>
        <w:br w:type="textWrapping"/>
      </w:r>
      <w:r>
        <w:rPr>
          <w:rFonts w:hint="eastAsia"/>
          <w:lang w:val="en-US" w:eastAsia="zh-CN"/>
        </w:rPr>
        <w:t>　　要将养老机构内设医疗机构及其医护人员纳入卫生计生行政部门统一指导，在资格认定、职称评定、技术准入和推荐评优等方面，与其他医疗机构同等对待。</w:t>
      </w:r>
      <w:r>
        <w:rPr>
          <w:rFonts w:hint="eastAsia"/>
          <w:lang w:val="en-US" w:eastAsia="zh-CN"/>
        </w:rPr>
        <w:br w:type="textWrapping"/>
      </w:r>
      <w:r>
        <w:rPr>
          <w:rFonts w:hint="eastAsia"/>
          <w:lang w:val="en-US" w:eastAsia="zh-CN"/>
        </w:rPr>
        <w:br w:type="textWrapping"/>
      </w:r>
      <w:r>
        <w:rPr>
          <w:rFonts w:hint="eastAsia"/>
          <w:lang w:val="en-US" w:eastAsia="zh-CN"/>
        </w:rPr>
        <w:t>　　加强对养老机构中医师、执业护士、管理人员等的培训，强化医养融合发展的人才保障。鼓励医师和执业护士到养老机构、医疗机构中提供服务。</w:t>
      </w:r>
      <w:r>
        <w:rPr>
          <w:rFonts w:hint="eastAsia"/>
          <w:lang w:val="en-US" w:eastAsia="zh-CN"/>
        </w:rPr>
        <w:br w:type="textWrapping"/>
      </w:r>
      <w:r>
        <w:rPr>
          <w:rFonts w:hint="eastAsia"/>
          <w:lang w:val="en-US" w:eastAsia="zh-CN"/>
        </w:rPr>
        <w:br w:type="textWrapping"/>
      </w:r>
      <w:r>
        <w:rPr>
          <w:rFonts w:hint="eastAsia"/>
          <w:lang w:val="en-US" w:eastAsia="zh-CN"/>
        </w:rPr>
        <w:t>　　促进医疗卫生资源进入社区和居民家庭，加强居家和社区养老服务设施与基层医疗卫生机构的合作。</w:t>
      </w:r>
      <w:r>
        <w:rPr>
          <w:rFonts w:hint="eastAsia"/>
          <w:lang w:val="en-US" w:eastAsia="zh-CN"/>
        </w:rPr>
        <w:br w:type="textWrapping"/>
      </w:r>
      <w:r>
        <w:rPr>
          <w:rFonts w:hint="eastAsia"/>
          <w:lang w:val="en-US" w:eastAsia="zh-CN"/>
        </w:rPr>
        <w:br w:type="textWrapping"/>
      </w:r>
      <w:r>
        <w:rPr>
          <w:rFonts w:hint="eastAsia"/>
          <w:lang w:val="en-US" w:eastAsia="zh-CN"/>
        </w:rPr>
        <w:t>　　五、完善投融资政策</w:t>
      </w:r>
      <w:r>
        <w:rPr>
          <w:rFonts w:hint="eastAsia"/>
          <w:lang w:val="en-US" w:eastAsia="zh-CN"/>
        </w:rPr>
        <w:br w:type="textWrapping"/>
      </w:r>
      <w:r>
        <w:rPr>
          <w:rFonts w:hint="eastAsia"/>
          <w:lang w:val="en-US" w:eastAsia="zh-CN"/>
        </w:rPr>
        <w:br w:type="textWrapping"/>
      </w:r>
      <w:r>
        <w:rPr>
          <w:rFonts w:hint="eastAsia"/>
          <w:lang w:val="en-US" w:eastAsia="zh-CN"/>
        </w:rPr>
        <w:t>　　加大对养老服务业发展的财政资金投入。有条件的地区，可设立专项扶持资金。充分利用支持服务业发展的各类财政资金，探索采取建立产业基金、PPP等模式，支持发展面向大众的社会化养老服务产业，带动社会资本加大投入。通过中央基建投资等现有资金渠道，对社会急需、项目发展前景好的养老项目予以适当扶持。</w:t>
      </w:r>
      <w:r>
        <w:rPr>
          <w:rFonts w:hint="eastAsia"/>
          <w:lang w:val="en-US" w:eastAsia="zh-CN"/>
        </w:rPr>
        <w:br w:type="textWrapping"/>
      </w:r>
      <w:r>
        <w:rPr>
          <w:rFonts w:hint="eastAsia"/>
          <w:lang w:val="en-US" w:eastAsia="zh-CN"/>
        </w:rPr>
        <w:br w:type="textWrapping"/>
      </w:r>
      <w:r>
        <w:rPr>
          <w:rFonts w:hint="eastAsia"/>
          <w:lang w:val="en-US" w:eastAsia="zh-CN"/>
        </w:rPr>
        <w:t>　　民政部本级彩票公益金和地方各级政府用于社会福利事业的彩票公益金，要将50%以上的资金用于支持发展养老服务业，并随老年人口的增加逐步提高投入比例。其中，支持民办养老服务发展的资金不得低于30%。</w:t>
      </w:r>
      <w:r>
        <w:rPr>
          <w:rFonts w:hint="eastAsia"/>
          <w:lang w:val="en-US" w:eastAsia="zh-CN"/>
        </w:rPr>
        <w:br w:type="textWrapping"/>
      </w:r>
      <w:r>
        <w:rPr>
          <w:rFonts w:hint="eastAsia"/>
          <w:lang w:val="en-US" w:eastAsia="zh-CN"/>
        </w:rPr>
        <w:br w:type="textWrapping"/>
      </w:r>
      <w:r>
        <w:rPr>
          <w:rFonts w:hint="eastAsia"/>
          <w:lang w:val="en-US" w:eastAsia="zh-CN"/>
        </w:rPr>
        <w:t>　　民办非营利性养老机构应当为捐资举办，机构享有对其资产的法人财产权，捐资人（举办者）不拥有对所捐赠财产的所有权。对于举办者没有捐赠而以租赁形式给予组织使用的固定资产、以及以借款方式投入组织运营的流动资金，允许其收取不高于市场公允水平的租金和利息。行业管理部门和登记管理机关应当对其关联交易进行披露并进行必要监管。</w:t>
      </w:r>
      <w:r>
        <w:rPr>
          <w:rFonts w:hint="eastAsia"/>
          <w:lang w:val="en-US" w:eastAsia="zh-CN"/>
        </w:rPr>
        <w:br w:type="textWrapping"/>
      </w:r>
      <w:r>
        <w:rPr>
          <w:rFonts w:hint="eastAsia"/>
          <w:lang w:val="en-US" w:eastAsia="zh-CN"/>
        </w:rPr>
        <w:br w:type="textWrapping"/>
      </w:r>
      <w:r>
        <w:rPr>
          <w:rFonts w:hint="eastAsia"/>
          <w:lang w:val="en-US" w:eastAsia="zh-CN"/>
        </w:rPr>
        <w:t>　　民办非营利性养老机构停办后，应当依法进行清算，其剩余资产由民政部门负责统筹，以捐赠形式纳入当地政府养老发展专项基金。原始捐资有增值的，经养老机构决策机构同意并经审计符合规定的，可对捐资人（举办者）给予一次性奖励。</w:t>
      </w:r>
      <w:r>
        <w:rPr>
          <w:rFonts w:hint="eastAsia"/>
          <w:lang w:val="en-US" w:eastAsia="zh-CN"/>
        </w:rPr>
        <w:br w:type="textWrapping"/>
      </w:r>
      <w:r>
        <w:rPr>
          <w:rFonts w:hint="eastAsia"/>
          <w:lang w:val="en-US" w:eastAsia="zh-CN"/>
        </w:rPr>
        <w:br w:type="textWrapping"/>
      </w:r>
      <w:r>
        <w:rPr>
          <w:rFonts w:hint="eastAsia"/>
          <w:lang w:val="en-US" w:eastAsia="zh-CN"/>
        </w:rPr>
        <w:t>　　鼓励通过财政贴息、补助投资、风险补偿等方式，支持金融机构加快金融产品和服务方式创新, 推进实施健康与养老服务工程。研究以养老服务产业为基础资产的证券化产品，稳步推进金融机构直接或间接投资养老服务业。</w:t>
      </w:r>
      <w:r>
        <w:rPr>
          <w:rFonts w:hint="eastAsia"/>
          <w:lang w:val="en-US" w:eastAsia="zh-CN"/>
        </w:rPr>
        <w:br w:type="textWrapping"/>
      </w:r>
      <w:r>
        <w:rPr>
          <w:rFonts w:hint="eastAsia"/>
          <w:lang w:val="en-US" w:eastAsia="zh-CN"/>
        </w:rPr>
        <w:br w:type="textWrapping"/>
      </w:r>
      <w:r>
        <w:rPr>
          <w:rFonts w:hint="eastAsia"/>
          <w:lang w:val="en-US" w:eastAsia="zh-CN"/>
        </w:rPr>
        <w:t>　　拓宽信贷抵押担保物范围，允许民办养老机构利用有偿取得的土地使用权、产权明晰的房产等固定资产办理抵押贷款，不动产登记机构要给予办理抵押登记手续。</w:t>
      </w:r>
      <w:r>
        <w:rPr>
          <w:rFonts w:hint="eastAsia"/>
          <w:lang w:val="en-US" w:eastAsia="zh-CN"/>
        </w:rPr>
        <w:br w:type="textWrapping"/>
      </w:r>
      <w:r>
        <w:rPr>
          <w:rFonts w:hint="eastAsia"/>
          <w:lang w:val="en-US" w:eastAsia="zh-CN"/>
        </w:rPr>
        <w:br w:type="textWrapping"/>
      </w:r>
      <w:r>
        <w:rPr>
          <w:rFonts w:hint="eastAsia"/>
          <w:lang w:val="en-US" w:eastAsia="zh-CN"/>
        </w:rPr>
        <w:t>　　六、落实税费优惠政策</w:t>
      </w:r>
      <w:r>
        <w:rPr>
          <w:rFonts w:hint="eastAsia"/>
          <w:lang w:val="en-US" w:eastAsia="zh-CN"/>
        </w:rPr>
        <w:br w:type="textWrapping"/>
      </w:r>
      <w:r>
        <w:rPr>
          <w:rFonts w:hint="eastAsia"/>
          <w:lang w:val="en-US" w:eastAsia="zh-CN"/>
        </w:rPr>
        <w:br w:type="textWrapping"/>
      </w:r>
      <w:r>
        <w:rPr>
          <w:rFonts w:hint="eastAsia"/>
          <w:lang w:val="en-US" w:eastAsia="zh-CN"/>
        </w:rPr>
        <w:t>　　对民办养老机构提供的育养服务免征营业税。养老机构在资产重组过程中涉及的不动产、土地使用权转让，不征收增值税和营业税。</w:t>
      </w:r>
      <w:r>
        <w:rPr>
          <w:rFonts w:hint="eastAsia"/>
          <w:lang w:val="en-US" w:eastAsia="zh-CN"/>
        </w:rPr>
        <w:br w:type="textWrapping"/>
      </w:r>
      <w:r>
        <w:rPr>
          <w:rFonts w:hint="eastAsia"/>
          <w:lang w:val="en-US" w:eastAsia="zh-CN"/>
        </w:rPr>
        <w:br w:type="textWrapping"/>
      </w:r>
      <w:r>
        <w:rPr>
          <w:rFonts w:hint="eastAsia"/>
          <w:lang w:val="en-US" w:eastAsia="zh-CN"/>
        </w:rPr>
        <w:t>　　进一步落实国家扶持小微企业相关税收优惠政策，对符合条件的小型微利养老服务企业，按照相关规定给予增值税、营业税、所得税优惠。</w:t>
      </w:r>
      <w:r>
        <w:rPr>
          <w:rFonts w:hint="eastAsia"/>
          <w:lang w:val="en-US" w:eastAsia="zh-CN"/>
        </w:rPr>
        <w:br w:type="textWrapping"/>
      </w:r>
      <w:r>
        <w:rPr>
          <w:rFonts w:hint="eastAsia"/>
          <w:lang w:val="en-US" w:eastAsia="zh-CN"/>
        </w:rPr>
        <w:br w:type="textWrapping"/>
      </w:r>
      <w:r>
        <w:rPr>
          <w:rFonts w:hint="eastAsia"/>
          <w:lang w:val="en-US" w:eastAsia="zh-CN"/>
        </w:rPr>
        <w:t>　　对家政服务企业由员工制家政服务员提供的老人护理等家政服务，在政策有效期内按规定免征营业税。</w:t>
      </w:r>
      <w:r>
        <w:rPr>
          <w:rFonts w:hint="eastAsia"/>
          <w:lang w:val="en-US" w:eastAsia="zh-CN"/>
        </w:rPr>
        <w:br w:type="textWrapping"/>
      </w:r>
      <w:r>
        <w:rPr>
          <w:rFonts w:hint="eastAsia"/>
          <w:lang w:val="en-US" w:eastAsia="zh-CN"/>
        </w:rPr>
        <w:br w:type="textWrapping"/>
      </w:r>
      <w:r>
        <w:rPr>
          <w:rFonts w:hint="eastAsia"/>
          <w:lang w:val="en-US" w:eastAsia="zh-CN"/>
        </w:rPr>
        <w:t>　　对符合条件的民办福利性、非营利性养老机构取得的收入，按规定免征企业所得税。</w:t>
      </w:r>
      <w:r>
        <w:rPr>
          <w:rFonts w:hint="eastAsia"/>
          <w:lang w:val="en-US" w:eastAsia="zh-CN"/>
        </w:rPr>
        <w:br w:type="textWrapping"/>
      </w:r>
      <w:r>
        <w:rPr>
          <w:rFonts w:hint="eastAsia"/>
          <w:lang w:val="en-US" w:eastAsia="zh-CN"/>
        </w:rPr>
        <w:br w:type="textWrapping"/>
      </w:r>
      <w:r>
        <w:rPr>
          <w:rFonts w:hint="eastAsia"/>
          <w:lang w:val="en-US" w:eastAsia="zh-CN"/>
        </w:rPr>
        <w:t>　　对民办福利性、非营利性养老机构自用的房产、土地免征房产税、城镇土地使用税。对经批准设立的民办养老院内专门为老年人提供生活照顾的场所免征耕地占用税。</w:t>
      </w:r>
      <w:r>
        <w:rPr>
          <w:rFonts w:hint="eastAsia"/>
          <w:lang w:val="en-US" w:eastAsia="zh-CN"/>
        </w:rPr>
        <w:br w:type="textWrapping"/>
      </w:r>
      <w:r>
        <w:rPr>
          <w:rFonts w:hint="eastAsia"/>
          <w:lang w:val="en-US" w:eastAsia="zh-CN"/>
        </w:rPr>
        <w:br w:type="textWrapping"/>
      </w:r>
      <w:r>
        <w:rPr>
          <w:rFonts w:hint="eastAsia"/>
          <w:lang w:val="en-US" w:eastAsia="zh-CN"/>
        </w:rPr>
        <w:t>　　对企事业单位、社会团体以及个人通过公益性社会团体或者县级以上人民政府及其部门，用于《中华人民共和国公益事业捐赠法》规定的公益事业的捐赠，符合相关规定的不超过年度利润总额12%的部分，准予扣除。对个人通过非营利性的社会团体和政府部门向福利性、非营利性的民办养老机构的捐赠，在缴纳个人所得税前准予全额扣除。</w:t>
      </w:r>
      <w:r>
        <w:rPr>
          <w:rFonts w:hint="eastAsia"/>
          <w:lang w:val="en-US" w:eastAsia="zh-CN"/>
        </w:rPr>
        <w:br w:type="textWrapping"/>
      </w:r>
      <w:r>
        <w:rPr>
          <w:rFonts w:hint="eastAsia"/>
          <w:lang w:val="en-US" w:eastAsia="zh-CN"/>
        </w:rPr>
        <w:br w:type="textWrapping"/>
      </w:r>
      <w:r>
        <w:rPr>
          <w:rFonts w:hint="eastAsia"/>
          <w:lang w:val="en-US" w:eastAsia="zh-CN"/>
        </w:rPr>
        <w:t>　　对民办非营利性养老机构建设免征有关行政事业性收费，对营利性养老机构建设减半征收有关行政事业性收费。</w:t>
      </w:r>
      <w:r>
        <w:rPr>
          <w:rFonts w:hint="eastAsia"/>
          <w:lang w:val="en-US" w:eastAsia="zh-CN"/>
        </w:rPr>
        <w:br w:type="textWrapping"/>
      </w:r>
      <w:r>
        <w:rPr>
          <w:rFonts w:hint="eastAsia"/>
          <w:lang w:val="en-US" w:eastAsia="zh-CN"/>
        </w:rPr>
        <w:br w:type="textWrapping"/>
      </w:r>
      <w:r>
        <w:rPr>
          <w:rFonts w:hint="eastAsia"/>
          <w:lang w:val="en-US" w:eastAsia="zh-CN"/>
        </w:rPr>
        <w:t>　　 七、加强人才保障</w:t>
      </w:r>
      <w:r>
        <w:rPr>
          <w:rFonts w:hint="eastAsia"/>
          <w:lang w:val="en-US" w:eastAsia="zh-CN"/>
        </w:rPr>
        <w:br w:type="textWrapping"/>
      </w:r>
      <w:r>
        <w:rPr>
          <w:rFonts w:hint="eastAsia"/>
          <w:lang w:val="en-US" w:eastAsia="zh-CN"/>
        </w:rPr>
        <w:br w:type="textWrapping"/>
      </w:r>
      <w:r>
        <w:rPr>
          <w:rFonts w:hint="eastAsia"/>
          <w:lang w:val="en-US" w:eastAsia="zh-CN"/>
        </w:rPr>
        <w:t>　　支持职业院校设立养老服务相关专业点，扩大人才培养规模；加快发展养老服务专科本科教育，积极发展养老服务研究生教育，培养老年学、人口与家庭、人口管理、老年医学、中医骨伤、康复、护理、营养、心理和社会工作等方面的专门人才。拓展人才培养渠道，打通技术技能人才的培养发展通道，推进医学专业外其他适宜专业的“3+2”、五年一贯制等中高职一体化人才培养。编制实施《全国老年教育发展规划（2015-2020年）》。充分发挥开放大学作用，开展继续教育和远程教育，进一步提升养老服务从业人员整体素质。</w:t>
      </w:r>
      <w:r>
        <w:rPr>
          <w:rFonts w:hint="eastAsia"/>
          <w:lang w:val="en-US" w:eastAsia="zh-CN"/>
        </w:rPr>
        <w:br w:type="textWrapping"/>
      </w:r>
      <w:r>
        <w:rPr>
          <w:rFonts w:hint="eastAsia"/>
          <w:lang w:val="en-US" w:eastAsia="zh-CN"/>
        </w:rPr>
        <w:br w:type="textWrapping"/>
      </w:r>
      <w:r>
        <w:rPr>
          <w:rFonts w:hint="eastAsia"/>
          <w:lang w:val="en-US" w:eastAsia="zh-CN"/>
        </w:rPr>
        <w:t>　　依托职业院校和养老机构等，加强养老护理人员培训，对符合条件参加养老照护职业培训和职业技能鉴定的从业人员，按规定给予补贴。</w:t>
      </w:r>
      <w:r>
        <w:rPr>
          <w:rFonts w:hint="eastAsia"/>
          <w:lang w:val="en-US" w:eastAsia="zh-CN"/>
        </w:rPr>
        <w:br w:type="textWrapping"/>
      </w:r>
      <w:r>
        <w:rPr>
          <w:rFonts w:hint="eastAsia"/>
          <w:lang w:val="en-US" w:eastAsia="zh-CN"/>
        </w:rPr>
        <w:br w:type="textWrapping"/>
      </w:r>
      <w:r>
        <w:rPr>
          <w:rFonts w:hint="eastAsia"/>
          <w:lang w:val="en-US" w:eastAsia="zh-CN"/>
        </w:rPr>
        <w:t>　　允许符合条件的医师到民办养老机构医疗机构开展多点执业。鼓励民办养老机构引入社会工作人才。对在民办养老机构就业的专业技术人员执行与公办机构相同的执业资格、注册考核政策。</w:t>
      </w:r>
      <w:r>
        <w:rPr>
          <w:rFonts w:hint="eastAsia"/>
          <w:lang w:val="en-US" w:eastAsia="zh-CN"/>
        </w:rPr>
        <w:br w:type="textWrapping"/>
      </w:r>
      <w:r>
        <w:rPr>
          <w:rFonts w:hint="eastAsia"/>
          <w:lang w:val="en-US" w:eastAsia="zh-CN"/>
        </w:rPr>
        <w:br w:type="textWrapping"/>
      </w:r>
      <w:r>
        <w:rPr>
          <w:rFonts w:hint="eastAsia"/>
          <w:lang w:val="en-US" w:eastAsia="zh-CN"/>
        </w:rPr>
        <w:t>　　做好养老护理员工资指导价位发布工作，指导民办养老机构和组织合理确定养老护理员劳动报酬。养老机构和组织应当依法足额缴纳社会保险费，对吸纳就业困难人员就业的养老机构，按规定给予社会保险补贴。就业困难人员以灵活就业方式从事居家养老服务的，可按规定享受灵活就业社会保险补贴。积极改善养老护理员工作条件，加强劳动保护和职业防护。</w:t>
      </w:r>
      <w:r>
        <w:rPr>
          <w:rFonts w:hint="eastAsia"/>
          <w:lang w:val="en-US" w:eastAsia="zh-CN"/>
        </w:rPr>
        <w:br w:type="textWrapping"/>
      </w:r>
      <w:r>
        <w:rPr>
          <w:rFonts w:hint="eastAsia"/>
          <w:lang w:val="en-US" w:eastAsia="zh-CN"/>
        </w:rPr>
        <w:br w:type="textWrapping"/>
      </w:r>
      <w:r>
        <w:rPr>
          <w:rFonts w:hint="eastAsia"/>
          <w:lang w:val="en-US" w:eastAsia="zh-CN"/>
        </w:rPr>
        <w:t>　　八、促进民间资本规范有序参与</w:t>
      </w:r>
      <w:r>
        <w:rPr>
          <w:rFonts w:hint="eastAsia"/>
          <w:lang w:val="en-US" w:eastAsia="zh-CN"/>
        </w:rPr>
        <w:br w:type="textWrapping"/>
      </w:r>
      <w:r>
        <w:rPr>
          <w:rFonts w:hint="eastAsia"/>
          <w:lang w:val="en-US" w:eastAsia="zh-CN"/>
        </w:rPr>
        <w:br w:type="textWrapping"/>
      </w:r>
      <w:r>
        <w:rPr>
          <w:rFonts w:hint="eastAsia"/>
          <w:lang w:val="en-US" w:eastAsia="zh-CN"/>
        </w:rPr>
        <w:t>　　建立完善政府领导、民政牵头、相关部门参与的工作机制，充分发挥已经建立的各类养老服务议事协调机构的作用，加强政策协调，定期分析问题，共同研究鼓励民间资本参与养老服务业发展的推进举措。</w:t>
      </w:r>
      <w:r>
        <w:rPr>
          <w:rFonts w:hint="eastAsia"/>
          <w:lang w:val="en-US" w:eastAsia="zh-CN"/>
        </w:rPr>
        <w:br w:type="textWrapping"/>
      </w:r>
      <w:r>
        <w:rPr>
          <w:rFonts w:hint="eastAsia"/>
          <w:lang w:val="en-US" w:eastAsia="zh-CN"/>
        </w:rPr>
        <w:br w:type="textWrapping"/>
      </w:r>
      <w:r>
        <w:rPr>
          <w:rFonts w:hint="eastAsia"/>
          <w:lang w:val="en-US" w:eastAsia="zh-CN"/>
        </w:rPr>
        <w:t>　　民政部门要切实履行监督管理、行业规范、业务指导职责，及时编制养老服务业发展规划。发展改革部门要将养老服务业纳入经济社会发展规划，支持养老服务体系建设。住房城乡建设部门要制订养老服务设施建设标准，组织编制养老服务设施专项规划，指导养老服务设施有序建设。其他有关部门要各司其职，按照职责分工，做好鼓励民间资本参与养老服务业发展工作。</w:t>
      </w:r>
      <w:r>
        <w:rPr>
          <w:rFonts w:hint="eastAsia"/>
          <w:lang w:val="en-US" w:eastAsia="zh-CN"/>
        </w:rPr>
        <w:br w:type="textWrapping"/>
      </w:r>
      <w:r>
        <w:rPr>
          <w:rFonts w:hint="eastAsia"/>
          <w:lang w:val="en-US" w:eastAsia="zh-CN"/>
        </w:rPr>
        <w:br w:type="textWrapping"/>
      </w:r>
      <w:r>
        <w:rPr>
          <w:rFonts w:hint="eastAsia"/>
          <w:lang w:val="en-US" w:eastAsia="zh-CN"/>
        </w:rPr>
        <w:t>　　贯彻落实养老服务业相关政策法规，建立公开、透明、规范的养老服务业准入、退出、监管制度，营造平等参与、公平竞争的市场环境。凡是法律法规没有明令禁入的养老服务领域，都要向民间资本开放。</w:t>
      </w:r>
      <w:r>
        <w:rPr>
          <w:rFonts w:hint="eastAsia"/>
          <w:lang w:val="en-US" w:eastAsia="zh-CN"/>
        </w:rPr>
        <w:br w:type="textWrapping"/>
      </w:r>
      <w:r>
        <w:rPr>
          <w:rFonts w:hint="eastAsia"/>
          <w:lang w:val="en-US" w:eastAsia="zh-CN"/>
        </w:rPr>
        <w:br w:type="textWrapping"/>
      </w:r>
      <w:r>
        <w:rPr>
          <w:rFonts w:hint="eastAsia"/>
          <w:lang w:val="en-US" w:eastAsia="zh-CN"/>
        </w:rPr>
        <w:t>　　加快制订和完善养老服务相关标准，建立健全养老服务标准体系，不断提升养老服务的规范化和标准化水平。加强对民间资本进入养老服务业的跟踪监测和服务。</w:t>
      </w:r>
      <w:r>
        <w:rPr>
          <w:rFonts w:hint="eastAsia"/>
          <w:lang w:val="en-US" w:eastAsia="zh-CN"/>
        </w:rPr>
        <w:br w:type="textWrapping"/>
      </w:r>
      <w:r>
        <w:rPr>
          <w:rFonts w:hint="eastAsia"/>
          <w:lang w:val="en-US" w:eastAsia="zh-CN"/>
        </w:rPr>
        <w:br w:type="textWrapping"/>
      </w:r>
      <w:r>
        <w:rPr>
          <w:rFonts w:hint="eastAsia"/>
          <w:lang w:val="en-US" w:eastAsia="zh-CN"/>
        </w:rPr>
        <w:t>　　培育和发展养老服务行业协会，发挥其在行业自律、监督评估和沟通协调等方面的作用，推动形成政府、社会组织、养老服务实体三者相结合的管理机制。</w:t>
      </w:r>
      <w:r>
        <w:rPr>
          <w:rFonts w:hint="eastAsia"/>
          <w:lang w:val="en-US" w:eastAsia="zh-CN"/>
        </w:rPr>
        <w:br w:type="textWrapping"/>
      </w:r>
      <w:r>
        <w:rPr>
          <w:rFonts w:hint="eastAsia"/>
          <w:lang w:val="en-US" w:eastAsia="zh-CN"/>
        </w:rPr>
        <w:br w:type="textWrapping"/>
      </w:r>
      <w:r>
        <w:rPr>
          <w:rFonts w:hint="eastAsia"/>
          <w:lang w:val="en-US" w:eastAsia="zh-CN"/>
        </w:rPr>
        <w:t>　　九、保障用地需求</w:t>
      </w:r>
      <w:r>
        <w:rPr>
          <w:rFonts w:hint="eastAsia"/>
          <w:lang w:val="en-US" w:eastAsia="zh-CN"/>
        </w:rPr>
        <w:br w:type="textWrapping"/>
      </w:r>
      <w:r>
        <w:rPr>
          <w:rFonts w:hint="eastAsia"/>
          <w:lang w:val="en-US" w:eastAsia="zh-CN"/>
        </w:rPr>
        <w:br w:type="textWrapping"/>
      </w:r>
      <w:r>
        <w:rPr>
          <w:rFonts w:hint="eastAsia"/>
          <w:lang w:val="en-US" w:eastAsia="zh-CN"/>
        </w:rPr>
        <w:t>　　民间资本投资养老服务设施所需建设用地，适用国家规定的养老服务设施用地供应和开发利用政策，国土资源管理部门应按照《国土资源部办公厅关于印发&lt;养老服务设施用地指导意见&gt;的通知》（国土资厅发〔2014〕11号）相关规定，积极做好用地服务工作。</w:t>
      </w:r>
      <w:r>
        <w:rPr>
          <w:rFonts w:hint="eastAsia"/>
          <w:lang w:val="en-US" w:eastAsia="zh-CN"/>
        </w:rPr>
        <w:br w:type="textWrapping"/>
      </w:r>
      <w:r>
        <w:rPr>
          <w:rFonts w:hint="eastAsia"/>
          <w:lang w:val="en-US" w:eastAsia="zh-CN"/>
        </w:rPr>
        <w:br w:type="textWrapping"/>
      </w:r>
      <w:r>
        <w:rPr>
          <w:rFonts w:hint="eastAsia"/>
          <w:lang w:val="en-US" w:eastAsia="zh-CN"/>
        </w:rPr>
        <w:t>　　</w:t>
      </w:r>
      <w:r>
        <w:rPr>
          <w:rFonts w:hint="eastAsia"/>
          <w:lang w:val="en-US" w:eastAsia="zh-CN"/>
        </w:rPr>
        <w:br w:type="textWrapping"/>
      </w:r>
      <w:r>
        <w:rPr>
          <w:rFonts w:hint="eastAsia"/>
          <w:lang w:val="en-US" w:eastAsia="zh-CN"/>
        </w:rPr>
        <w:t>民政部 发展改革委 教育部 财政部 人力资源社会保障部 国土资源部 住房城乡建设部 卫生计生委 银监会 保监会</w:t>
      </w:r>
      <w:r>
        <w:rPr>
          <w:rFonts w:hint="eastAsia"/>
          <w:lang w:val="en-US" w:eastAsia="zh-CN"/>
        </w:rPr>
        <w:br w:type="textWrapping"/>
      </w:r>
      <w:r>
        <w:rPr>
          <w:rFonts w:hint="eastAsia"/>
          <w:lang w:val="en-US" w:eastAsia="zh-CN"/>
        </w:rPr>
        <w:br w:type="textWrapping"/>
      </w:r>
      <w:r>
        <w:rPr>
          <w:rFonts w:hint="eastAsia"/>
          <w:lang w:val="en-US" w:eastAsia="zh-CN"/>
        </w:rPr>
        <w:t>　　 2015年2月3日</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 important">
    <w:altName w:val="SF Automaton Extended"/>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Geneva">
    <w:altName w:val="SF Automaton Extended"/>
    <w:panose1 w:val="00000000000000000000"/>
    <w:charset w:val="00"/>
    <w:family w:val="auto"/>
    <w:pitch w:val="default"/>
    <w:sig w:usb0="00000000" w:usb1="00000000" w:usb2="00000000" w:usb3="00000000" w:csb0="00000000" w:csb1="00000000"/>
  </w:font>
  <w:font w:name="Tms Rmn">
    <w:altName w:val="SF Automaton Extended"/>
    <w:panose1 w:val="00000000000000000000"/>
    <w:charset w:val="00"/>
    <w:family w:val="auto"/>
    <w:pitch w:val="default"/>
    <w:sig w:usb0="00000000" w:usb1="00000000" w:usb2="00000000" w:usb3="00000000" w:csb0="00000000" w:csb1="00000000"/>
  </w:font>
  <w:font w:name="Helv">
    <w:altName w:val="SF Automaton Extended"/>
    <w:panose1 w:val="00000000000000000000"/>
    <w:charset w:val="00"/>
    <w:family w:val="auto"/>
    <w:pitch w:val="default"/>
    <w:sig w:usb0="00000000" w:usb1="00000000" w:usb2="00000000" w:usb3="00000000" w:csb0="00000000" w:csb1="00000000"/>
  </w:font>
  <w:font w:name="方正舒体">
    <w:altName w:val="SF Automaton Extended"/>
    <w:panose1 w:val="00000000000000000000"/>
    <w:charset w:val="00"/>
    <w:family w:val="auto"/>
    <w:pitch w:val="default"/>
    <w:sig w:usb0="00000000" w:usb1="00000000" w:usb2="00000000" w:usb3="00000000" w:csb0="00000000" w:csb1="00000000"/>
  </w:font>
  <w:font w:name="MS Serif">
    <w:altName w:val="SF Automaton Extended"/>
    <w:panose1 w:val="00000000000000000000"/>
    <w:charset w:val="00"/>
    <w:family w:val="auto"/>
    <w:pitch w:val="default"/>
    <w:sig w:usb0="00000000" w:usb1="00000000" w:usb2="00000000" w:usb3="00000000" w:csb0="00000000" w:csb1="00000000"/>
  </w:font>
  <w:font w:name="MS Sans Serif">
    <w:altName w:val="SF Automaton Extended"/>
    <w:panose1 w:val="00000000000000000000"/>
    <w:charset w:val="00"/>
    <w:family w:val="auto"/>
    <w:pitch w:val="default"/>
    <w:sig w:usb0="00000000" w:usb1="00000000" w:usb2="00000000" w:usb3="00000000" w:csb0="00000000" w:csb1="00000000"/>
  </w:font>
  <w:font w:name="New York">
    <w:altName w:val="SF Automaton Extended"/>
    <w:panose1 w:val="00000000000000000000"/>
    <w:charset w:val="00"/>
    <w:family w:val="auto"/>
    <w:pitch w:val="default"/>
    <w:sig w:usb0="00000000" w:usb1="00000000" w:usb2="00000000" w:usb3="00000000" w:csb0="00000000" w:csb1="00000000"/>
  </w:font>
  <w:font w:name="方正毡笔黑简体">
    <w:altName w:val="黑体"/>
    <w:panose1 w:val="00000000000000000000"/>
    <w:charset w:val="00"/>
    <w:family w:val="auto"/>
    <w:pitch w:val="default"/>
    <w:sig w:usb0="00000000" w:usb1="00000000" w:usb2="00000000" w:usb3="00000000" w:csb0="00000000" w:csb1="00000000"/>
  </w:font>
  <w:font w:name="System">
    <w:altName w:val="SF Automaton Extended"/>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ncho">
    <w:altName w:val="SF Automaton Extended"/>
    <w:panose1 w:val="00000000000000000000"/>
    <w:charset w:val="00"/>
    <w:family w:val="auto"/>
    <w:pitch w:val="default"/>
    <w:sig w:usb0="00000000" w:usb1="00000000" w:usb2="00000000" w:usb3="00000000" w:csb0="00000000" w:csb1="00000000"/>
  </w:font>
  <w:font w:name="Batang">
    <w:altName w:val="SF Automaton Extended"/>
    <w:panose1 w:val="00000000000000000000"/>
    <w:charset w:val="00"/>
    <w:family w:val="auto"/>
    <w:pitch w:val="default"/>
    <w:sig w:usb0="00000000" w:usb1="00000000" w:usb2="00000000" w:usb3="00000000" w:csb0="00000000" w:csb1="00000000"/>
  </w:font>
  <w:font w:name="方正瘦金书简体">
    <w:altName w:val="SF Automaton Extended"/>
    <w:panose1 w:val="00000000000000000000"/>
    <w:charset w:val="00"/>
    <w:family w:val="auto"/>
    <w:pitch w:val="default"/>
    <w:sig w:usb0="00000000" w:usb1="00000000" w:usb2="00000000" w:usb3="00000000" w:csb0="00000000" w:csb1="00000000"/>
  </w:font>
  <w:font w:name="PMingLiU">
    <w:altName w:val="SF Automaton Extended"/>
    <w:panose1 w:val="00000000000000000000"/>
    <w:charset w:val="00"/>
    <w:family w:val="auto"/>
    <w:pitch w:val="default"/>
    <w:sig w:usb0="0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Gothic">
    <w:altName w:val="Malgun Gothic"/>
    <w:panose1 w:val="00000000000000000000"/>
    <w:charset w:val="00"/>
    <w:family w:val="auto"/>
    <w:pitch w:val="default"/>
    <w:sig w:usb0="00000000" w:usb1="00000000" w:usb2="00000000" w:usb3="00000000" w:csb0="00000000" w:csb1="00000000"/>
  </w:font>
  <w:font w:name="Dotum">
    <w:altName w:val="SF Automaton Extended"/>
    <w:panose1 w:val="00000000000000000000"/>
    <w:charset w:val="00"/>
    <w:family w:val="auto"/>
    <w:pitch w:val="default"/>
    <w:sig w:usb0="00000000" w:usb1="00000000" w:usb2="00000000" w:usb3="00000000" w:csb0="00000000" w:csb1="00000000"/>
  </w:font>
  <w:font w:name="MingLiU">
    <w:altName w:val="SF Automaton Extended"/>
    <w:panose1 w:val="00000000000000000000"/>
    <w:charset w:val="00"/>
    <w:family w:val="auto"/>
    <w:pitch w:val="default"/>
    <w:sig w:usb0="00000000" w:usb1="00000000" w:usb2="00000000" w:usb3="00000000" w:csb0="00000000" w:csb1="00000000"/>
  </w:font>
  <w:font w:name="MS Mincho">
    <w:altName w:val="SF Automaton Extended"/>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Gulim">
    <w:altName w:val="SF Automaton Extended"/>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entury">
    <w:altName w:val="Times New Roman"/>
    <w:panose1 w:val="00000000000000000000"/>
    <w:charset w:val="00"/>
    <w:family w:val="auto"/>
    <w:pitch w:val="default"/>
    <w:sig w:usb0="00000000" w:usb1="00000000" w:usb2="00000000" w:usb3="00000000" w:csb0="00000000" w:csb1="00000000"/>
  </w:font>
  <w:font w:name="MS Outlook">
    <w:altName w:val="Symbol"/>
    <w:panose1 w:val="00000000000000000000"/>
    <w:charset w:val="00"/>
    <w:family w:val="auto"/>
    <w:pitch w:val="default"/>
    <w:sig w:usb0="00000000" w:usb1="00000000" w:usb2="00000000" w:usb3="00000000" w:csb0="00000000" w:csb1="00000000"/>
  </w:font>
  <w:font w:name="Fixedsys">
    <w:altName w:val="SF Automaton Extended"/>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 w:name="Terminal">
    <w:altName w:val="SF Automaton Extended"/>
    <w:panose1 w:val="00000000000000000000"/>
    <w:charset w:val="00"/>
    <w:family w:val="auto"/>
    <w:pitch w:val="default"/>
    <w:sig w:usb0="00000000" w:usb1="00000000" w:usb2="00000000" w:usb3="00000000" w:csb0="00000000" w:csb1="00000000"/>
  </w:font>
  <w:font w:name="Small Fonts">
    <w:altName w:val="SF Automaton Extended"/>
    <w:panose1 w:val="00000000000000000000"/>
    <w:charset w:val="00"/>
    <w:family w:val="auto"/>
    <w:pitch w:val="default"/>
    <w:sig w:usb0="00000000" w:usb1="00000000" w:usb2="00000000" w:usb3="00000000" w:csb0="00000000" w:csb1="00000000"/>
  </w:font>
  <w:font w:name="方正中倩简体">
    <w:altName w:val="SF Automaton Extended"/>
    <w:panose1 w:val="00000000000000000000"/>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方正细圆简体">
    <w:altName w:val="微软雅黑"/>
    <w:panose1 w:val="00000000000000000000"/>
    <w:charset w:val="00"/>
    <w:family w:val="auto"/>
    <w:pitch w:val="default"/>
    <w:sig w:usb0="00000000" w:usb1="00000000" w:usb2="00000000" w:usb3="00000000" w:csb0="00000000" w:csb1="00000000"/>
  </w:font>
  <w:font w:name="方正隶变简体">
    <w:altName w:val="宋体"/>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Comic Sans MS">
    <w:panose1 w:val="030F0702030302020204"/>
    <w:charset w:val="00"/>
    <w:family w:val="auto"/>
    <w:pitch w:val="default"/>
    <w:sig w:usb0="00000287" w:usb1="40000013" w:usb2="00000000" w:usb3="00000000" w:csb0="2000009F" w:csb1="00000000"/>
  </w:font>
  <w:font w:name="Impact">
    <w:panose1 w:val="020B0806030902050204"/>
    <w:charset w:val="00"/>
    <w:family w:val="auto"/>
    <w:pitch w:val="default"/>
    <w:sig w:usb0="00000287" w:usb1="00000000" w:usb2="00000000" w:usb3="00000000" w:csb0="2000009F" w:csb1="DFD70000"/>
  </w:font>
  <w:font w:name="Webdings">
    <w:panose1 w:val="05030102010509060703"/>
    <w:charset w:val="00"/>
    <w:family w:val="auto"/>
    <w:pitch w:val="default"/>
    <w:sig w:usb0="00000000" w:usb1="00000000" w:usb2="00000000" w:usb3="00000000" w:csb0="80000000" w:csb1="00000000"/>
  </w:font>
  <w:font w:name="方正剪纸简体">
    <w:altName w:val="SF Automaton Extended"/>
    <w:panose1 w:val="00000000000000000000"/>
    <w:charset w:val="00"/>
    <w:family w:val="auto"/>
    <w:pitch w:val="default"/>
    <w:sig w:usb0="00000000" w:usb1="00000000" w:usb2="00000000" w:usb3="00000000" w:csb0="00000000" w:csb1="00000000"/>
  </w:font>
  <w:font w:name="幼圆">
    <w:altName w:val="SF Automaton Extended"/>
    <w:panose1 w:val="00000000000000000000"/>
    <w:charset w:val="00"/>
    <w:family w:val="auto"/>
    <w:pitch w:val="default"/>
    <w:sig w:usb0="00000000" w:usb1="00000000" w:usb2="00000000" w:usb3="00000000" w:csb0="00000000" w:csb1="00000000"/>
  </w:font>
  <w:font w:name="方正姚体">
    <w:altName w:val="SF Automaton Extended"/>
    <w:panose1 w:val="00000000000000000000"/>
    <w:charset w:val="00"/>
    <w:family w:val="auto"/>
    <w:pitch w:val="default"/>
    <w:sig w:usb0="00000000" w:usb1="00000000" w:usb2="00000000" w:usb3="00000000" w:csb0="00000000" w:csb1="00000000"/>
  </w:font>
  <w:font w:name="隶书">
    <w:altName w:val="微软雅黑"/>
    <w:panose1 w:val="00000000000000000000"/>
    <w:charset w:val="00"/>
    <w:family w:val="auto"/>
    <w:pitch w:val="default"/>
    <w:sig w:usb0="00000000" w:usb1="00000000" w:usb2="00000000" w:usb3="00000000" w:csb0="00000000" w:csb1="00000000"/>
  </w:font>
  <w:font w:name="方正隶二简体">
    <w:altName w:val="宋体"/>
    <w:panose1 w:val="00000000000000000000"/>
    <w:charset w:val="00"/>
    <w:family w:val="auto"/>
    <w:pitch w:val="default"/>
    <w:sig w:usb0="00000000" w:usb1="00000000" w:usb2="00000000" w:usb3="00000000" w:csb0="00000000" w:csb1="00000000"/>
  </w:font>
  <w:font w:name="华文彩云">
    <w:altName w:val="微软雅黑"/>
    <w:panose1 w:val="00000000000000000000"/>
    <w:charset w:val="00"/>
    <w:family w:val="auto"/>
    <w:pitch w:val="default"/>
    <w:sig w:usb0="00000000" w:usb1="00000000" w:usb2="00000000" w:usb3="00000000" w:csb0="00000000" w:csb1="00000000"/>
  </w:font>
  <w:font w:name="方正胖头鱼简体">
    <w:altName w:val="SF Automaton Extended"/>
    <w:panose1 w:val="00000000000000000000"/>
    <w:charset w:val="00"/>
    <w:family w:val="auto"/>
    <w:pitch w:val="default"/>
    <w:sig w:usb0="00000000" w:usb1="00000000" w:usb2="00000000" w:usb3="00000000" w:csb0="00000000" w:csb1="00000000"/>
  </w:font>
  <w:font w:name="华文细黑">
    <w:altName w:val="微软雅黑"/>
    <w:panose1 w:val="00000000000000000000"/>
    <w:charset w:val="00"/>
    <w:family w:val="auto"/>
    <w:pitch w:val="default"/>
    <w:sig w:usb0="00000000" w:usb1="00000000" w:usb2="00000000" w:usb3="00000000" w:csb0="00000000" w:csb1="00000000"/>
  </w:font>
  <w:font w:name="方正硬笔楷书简体">
    <w:altName w:val="宋体"/>
    <w:panose1 w:val="00000000000000000000"/>
    <w:charset w:val="00"/>
    <w:family w:val="auto"/>
    <w:pitch w:val="default"/>
    <w:sig w:usb0="00000000" w:usb1="00000000" w:usb2="00000000" w:usb3="00000000" w:csb0="00000000" w:csb1="00000000"/>
  </w:font>
  <w:font w:name="华文行楷">
    <w:altName w:val="微软雅黑"/>
    <w:panose1 w:val="00000000000000000000"/>
    <w:charset w:val="00"/>
    <w:family w:val="auto"/>
    <w:pitch w:val="default"/>
    <w:sig w:usb0="00000000" w:usb1="00000000" w:usb2="00000000" w:usb3="00000000" w:csb0="00000000" w:csb1="00000000"/>
  </w:font>
  <w:font w:name="华文新魏">
    <w:altName w:val="SF Automaton Extended"/>
    <w:panose1 w:val="00000000000000000000"/>
    <w:charset w:val="00"/>
    <w:family w:val="auto"/>
    <w:pitch w:val="default"/>
    <w:sig w:usb0="00000000" w:usb1="00000000" w:usb2="00000000" w:usb3="00000000" w:csb0="00000000" w:csb1="00000000"/>
  </w:font>
  <w:font w:name="方正综艺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华文中宋">
    <w:altName w:val="宋体"/>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auto"/>
    <w:pitch w:val="default"/>
    <w:sig w:usb0="00000000" w:usb1="00000000" w:usb2="00000000" w:usb3="00000000" w:csb0="00000000" w:csb1="00000000"/>
  </w:font>
  <w:font w:name="Book Antiqua">
    <w:altName w:val="SF Automaton Extended"/>
    <w:panose1 w:val="00000000000000000000"/>
    <w:charset w:val="00"/>
    <w:family w:val="auto"/>
    <w:pitch w:val="default"/>
    <w:sig w:usb0="00000000" w:usb1="00000000" w:usb2="00000000" w:usb3="00000000" w:csb0="00000000" w:csb1="00000000"/>
  </w:font>
  <w:font w:name="Bookman Old Style">
    <w:altName w:val="SF Automaton Extended"/>
    <w:panose1 w:val="00000000000000000000"/>
    <w:charset w:val="00"/>
    <w:family w:val="auto"/>
    <w:pitch w:val="default"/>
    <w:sig w:usb0="00000000" w:usb1="00000000" w:usb2="00000000" w:usb3="00000000" w:csb0="00000000" w:csb1="00000000"/>
  </w:font>
  <w:font w:name="方正铁筋隶书简体">
    <w:altName w:val="宋体"/>
    <w:panose1 w:val="00000000000000000000"/>
    <w:charset w:val="00"/>
    <w:family w:val="auto"/>
    <w:pitch w:val="default"/>
    <w:sig w:usb0="00000000" w:usb1="00000000" w:usb2="00000000" w:usb3="00000000" w:csb0="00000000" w:csb1="00000000"/>
  </w:font>
  <w:font w:name="方正琥珀简体">
    <w:altName w:val="微软雅黑"/>
    <w:panose1 w:val="00000000000000000000"/>
    <w:charset w:val="00"/>
    <w:family w:val="auto"/>
    <w:pitch w:val="default"/>
    <w:sig w:usb0="00000000" w:usb1="00000000" w:usb2="00000000" w:usb3="00000000" w:csb0="00000000" w:csb1="00000000"/>
  </w:font>
  <w:font w:name="Century Gothic">
    <w:altName w:val="SF Automaton Extended"/>
    <w:panose1 w:val="00000000000000000000"/>
    <w:charset w:val="00"/>
    <w:family w:val="auto"/>
    <w:pitch w:val="default"/>
    <w:sig w:usb0="00000000" w:usb1="00000000" w:usb2="00000000" w:usb3="00000000" w:csb0="00000000" w:csb1="00000000"/>
  </w:font>
  <w:font w:name="Copperplate Gothic Bold">
    <w:altName w:val="SF Automaton Extended"/>
    <w:panose1 w:val="00000000000000000000"/>
    <w:charset w:val="00"/>
    <w:family w:val="auto"/>
    <w:pitch w:val="default"/>
    <w:sig w:usb0="00000000" w:usb1="00000000" w:usb2="00000000" w:usb3="00000000" w:csb0="00000000" w:csb1="00000000"/>
  </w:font>
  <w:font w:name="Garamond">
    <w:altName w:val="SF Automaton Extended"/>
    <w:panose1 w:val="00000000000000000000"/>
    <w:charset w:val="00"/>
    <w:family w:val="auto"/>
    <w:pitch w:val="default"/>
    <w:sig w:usb0="00000000" w:usb1="00000000" w:usb2="00000000" w:usb3="00000000" w:csb0="00000000" w:csb1="00000000"/>
  </w:font>
  <w:font w:name="Haettenschweiler">
    <w:altName w:val="SF Automaton Extended"/>
    <w:panose1 w:val="00000000000000000000"/>
    <w:charset w:val="00"/>
    <w:family w:val="auto"/>
    <w:pitch w:val="default"/>
    <w:sig w:usb0="00000000" w:usb1="00000000" w:usb2="00000000" w:usb3="00000000" w:csb0="00000000" w:csb1="00000000"/>
  </w:font>
  <w:font w:name="Wingdings 2">
    <w:altName w:val="Wingdings"/>
    <w:panose1 w:val="00000000000000000000"/>
    <w:charset w:val="00"/>
    <w:family w:val="auto"/>
    <w:pitch w:val="default"/>
    <w:sig w:usb0="00000000" w:usb1="00000000" w:usb2="00000000" w:usb3="00000000" w:csb0="00000000" w:csb1="00000000"/>
  </w:font>
  <w:font w:name="Monotype Corsiva">
    <w:altName w:val="SF Automaton Extended"/>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Wingdings 3">
    <w:altName w:val="Symbol"/>
    <w:panose1 w:val="00000000000000000000"/>
    <w:charset w:val="00"/>
    <w:family w:val="auto"/>
    <w:pitch w:val="default"/>
    <w:sig w:usb0="00000000" w:usb1="00000000" w:usb2="00000000" w:usb3="00000000" w:csb0="00000000" w:csb1="00000000"/>
  </w:font>
  <w:font w:name="方正宋三简体">
    <w:altName w:val="宋体"/>
    <w:panose1 w:val="00000000000000000000"/>
    <w:charset w:val="00"/>
    <w:family w:val="auto"/>
    <w:pitch w:val="default"/>
    <w:sig w:usb0="00000000" w:usb1="00000000" w:usb2="00000000" w:usb3="00000000" w:csb0="00000000" w:csb1="00000000"/>
  </w:font>
  <w:font w:name="News Gothic MT">
    <w:altName w:val="SF Automaton Extended"/>
    <w:panose1 w:val="00000000000000000000"/>
    <w:charset w:val="00"/>
    <w:family w:val="auto"/>
    <w:pitch w:val="default"/>
    <w:sig w:usb0="00000000" w:usb1="00000000" w:usb2="00000000" w:usb3="00000000" w:csb0="00000000" w:csb1="00000000"/>
  </w:font>
  <w:font w:name="Lucida Handwriting">
    <w:altName w:val="SF Automaton Extended"/>
    <w:panose1 w:val="00000000000000000000"/>
    <w:charset w:val="00"/>
    <w:family w:val="auto"/>
    <w:pitch w:val="default"/>
    <w:sig w:usb0="00000000" w:usb1="00000000" w:usb2="00000000" w:usb3="00000000" w:csb0="00000000" w:csb1="00000000"/>
  </w:font>
  <w:font w:name="Lucida Sans">
    <w:altName w:val="Lucida Sans Unicode"/>
    <w:panose1 w:val="00000000000000000000"/>
    <w:charset w:val="00"/>
    <w:family w:val="auto"/>
    <w:pitch w:val="default"/>
    <w:sig w:usb0="00000000" w:usb1="00000000" w:usb2="00000000" w:usb3="00000000" w:csb0="00000000" w:csb1="00000000"/>
  </w:font>
  <w:font w:name="OCR A Extended">
    <w:altName w:val="SF Automaton Extended"/>
    <w:panose1 w:val="00000000000000000000"/>
    <w:charset w:val="00"/>
    <w:family w:val="auto"/>
    <w:pitch w:val="default"/>
    <w:sig w:usb0="00000000" w:usb1="00000000" w:usb2="00000000" w:usb3="00000000" w:csb0="00000000" w:csb1="00000000"/>
  </w:font>
  <w:font w:name="Calisto MT">
    <w:altName w:val="SF Automaton Extended"/>
    <w:panose1 w:val="00000000000000000000"/>
    <w:charset w:val="00"/>
    <w:family w:val="auto"/>
    <w:pitch w:val="default"/>
    <w:sig w:usb0="00000000" w:usb1="00000000" w:usb2="00000000" w:usb3="00000000" w:csb0="00000000" w:csb1="00000000"/>
  </w:font>
  <w:font w:name="Abadi MT Condensed Light">
    <w:altName w:val="SF Automaton Extended"/>
    <w:panose1 w:val="00000000000000000000"/>
    <w:charset w:val="00"/>
    <w:family w:val="auto"/>
    <w:pitch w:val="default"/>
    <w:sig w:usb0="00000000" w:usb1="00000000" w:usb2="00000000" w:usb3="00000000" w:csb0="00000000" w:csb1="00000000"/>
  </w:font>
  <w:font w:name="Copperplate Gothic Light">
    <w:altName w:val="SF Automaton Extended"/>
    <w:panose1 w:val="00000000000000000000"/>
    <w:charset w:val="00"/>
    <w:family w:val="auto"/>
    <w:pitch w:val="default"/>
    <w:sig w:usb0="00000000" w:usb1="00000000" w:usb2="00000000" w:usb3="00000000" w:csb0="00000000" w:csb1="00000000"/>
  </w:font>
  <w:font w:name="Matisse ITC">
    <w:altName w:val="SF Automaton Extended"/>
    <w:panose1 w:val="00000000000000000000"/>
    <w:charset w:val="00"/>
    <w:family w:val="auto"/>
    <w:pitch w:val="default"/>
    <w:sig w:usb0="00000000" w:usb1="00000000" w:usb2="00000000" w:usb3="00000000" w:csb0="00000000" w:csb1="00000000"/>
  </w:font>
  <w:font w:name="Tempus Sans ITC">
    <w:altName w:val="SF Automaton Extended"/>
    <w:panose1 w:val="00000000000000000000"/>
    <w:charset w:val="00"/>
    <w:family w:val="auto"/>
    <w:pitch w:val="default"/>
    <w:sig w:usb0="00000000" w:usb1="00000000" w:usb2="00000000" w:usb3="00000000" w:csb0="00000000" w:csb1="00000000"/>
  </w:font>
  <w:font w:name="Westminster">
    <w:altName w:val="SF Automaton Extended"/>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报宋简体">
    <w:altName w:val="宋体"/>
    <w:panose1 w:val="00000000000000000000"/>
    <w:charset w:val="00"/>
    <w:family w:val="auto"/>
    <w:pitch w:val="default"/>
    <w:sig w:usb0="00000000" w:usb1="00000000" w:usb2="00000000" w:usb3="00000000" w:csb0="00000000" w:csb1="00000000"/>
  </w:font>
  <w:font w:name="方正细等线简体">
    <w:altName w:val="SF Automaton Extended"/>
    <w:panose1 w:val="00000000000000000000"/>
    <w:charset w:val="00"/>
    <w:family w:val="auto"/>
    <w:pitch w:val="default"/>
    <w:sig w:usb0="00000000" w:usb1="00000000" w:usb2="00000000" w:usb3="00000000" w:csb0="00000000" w:csb1="00000000"/>
  </w:font>
  <w:font w:name="方正粗倩简体">
    <w:altName w:val="SF Automaton Extended"/>
    <w:panose1 w:val="00000000000000000000"/>
    <w:charset w:val="00"/>
    <w:family w:val="auto"/>
    <w:pitch w:val="default"/>
    <w:sig w:usb0="00000000" w:usb1="00000000" w:usb2="00000000" w:usb3="00000000" w:csb0="00000000" w:csb1="00000000"/>
  </w:font>
  <w:font w:name="方正中等线简体">
    <w:altName w:val="SF Automaton Extended"/>
    <w:panose1 w:val="00000000000000000000"/>
    <w:charset w:val="00"/>
    <w:family w:val="auto"/>
    <w:pitch w:val="default"/>
    <w:sig w:usb0="00000000" w:usb1="00000000" w:usb2="00000000" w:usb3="00000000" w:csb0="00000000" w:csb1="00000000"/>
  </w:font>
  <w:font w:name="方正细黑一简体">
    <w:altName w:val="黑体"/>
    <w:panose1 w:val="00000000000000000000"/>
    <w:charset w:val="00"/>
    <w:family w:val="auto"/>
    <w:pitch w:val="default"/>
    <w:sig w:usb0="00000000" w:usb1="00000000" w:usb2="00000000" w:usb3="00000000" w:csb0="00000000" w:csb1="00000000"/>
  </w:font>
  <w:font w:name="方正新报宋简体">
    <w:altName w:val="微软雅黑"/>
    <w:panose1 w:val="00000000000000000000"/>
    <w:charset w:val="00"/>
    <w:family w:val="auto"/>
    <w:pitch w:val="default"/>
    <w:sig w:usb0="00000000" w:usb1="00000000" w:usb2="00000000" w:usb3="00000000" w:csb0="00000000" w:csb1="00000000"/>
  </w:font>
  <w:font w:name="方正宋一简体">
    <w:altName w:val="宋体"/>
    <w:panose1 w:val="00000000000000000000"/>
    <w:charset w:val="00"/>
    <w:family w:val="auto"/>
    <w:pitch w:val="default"/>
    <w:sig w:usb0="00000000" w:usb1="00000000" w:usb2="00000000" w:usb3="00000000" w:csb0="00000000" w:csb1="00000000"/>
  </w:font>
  <w:font w:name="方正大黑简体">
    <w:altName w:val="黑体"/>
    <w:panose1 w:val="00000000000000000000"/>
    <w:charset w:val="00"/>
    <w:family w:val="auto"/>
    <w:pitch w:val="default"/>
    <w:sig w:usb0="00000000" w:usb1="00000000" w:usb2="00000000" w:usb3="00000000" w:csb0="00000000" w:csb1="00000000"/>
  </w:font>
  <w:font w:name="方正宋黑简体">
    <w:altName w:val="宋体"/>
    <w:panose1 w:val="00000000000000000000"/>
    <w:charset w:val="00"/>
    <w:family w:val="auto"/>
    <w:pitch w:val="default"/>
    <w:sig w:usb0="00000000" w:usb1="00000000" w:usb2="00000000" w:usb3="00000000" w:csb0="00000000" w:csb1="00000000"/>
  </w:font>
  <w:font w:name="方正粗宋简体">
    <w:altName w:val="宋体"/>
    <w:panose1 w:val="00000000000000000000"/>
    <w:charset w:val="00"/>
    <w:family w:val="auto"/>
    <w:pitch w:val="default"/>
    <w:sig w:usb0="00000000" w:usb1="00000000" w:usb2="00000000" w:usb3="00000000" w:csb0="00000000" w:csb1="00000000"/>
  </w:font>
  <w:font w:name="方正准圆简体">
    <w:altName w:val="SF Automaton Extended"/>
    <w:panose1 w:val="00000000000000000000"/>
    <w:charset w:val="00"/>
    <w:family w:val="auto"/>
    <w:pitch w:val="default"/>
    <w:sig w:usb0="00000000" w:usb1="00000000" w:usb2="00000000" w:usb3="00000000" w:csb0="00000000" w:csb1="00000000"/>
  </w:font>
  <w:font w:name="方正粗圆简体">
    <w:altName w:val="SF Automaton Extended"/>
    <w:panose1 w:val="00000000000000000000"/>
    <w:charset w:val="00"/>
    <w:family w:val="auto"/>
    <w:pitch w:val="default"/>
    <w:sig w:usb0="00000000" w:usb1="00000000" w:usb2="00000000" w:usb3="00000000" w:csb0="00000000" w:csb1="00000000"/>
  </w:font>
  <w:font w:name="方正姚体简体">
    <w:altName w:val="SF Automaton Extended"/>
    <w:panose1 w:val="00000000000000000000"/>
    <w:charset w:val="00"/>
    <w:family w:val="auto"/>
    <w:pitch w:val="default"/>
    <w:sig w:usb0="00000000" w:usb1="00000000" w:usb2="00000000" w:usb3="00000000" w:csb0="00000000" w:csb1="00000000"/>
  </w:font>
  <w:font w:name="方正美黑简体">
    <w:altName w:val="黑体"/>
    <w:panose1 w:val="00000000000000000000"/>
    <w:charset w:val="00"/>
    <w:family w:val="auto"/>
    <w:pitch w:val="default"/>
    <w:sig w:usb0="00000000" w:usb1="00000000" w:usb2="00000000" w:usb3="00000000" w:csb0="00000000" w:csb1="00000000"/>
  </w:font>
  <w:font w:name="方正水柱简体">
    <w:altName w:val="微软雅黑"/>
    <w:panose1 w:val="00000000000000000000"/>
    <w:charset w:val="00"/>
    <w:family w:val="auto"/>
    <w:pitch w:val="default"/>
    <w:sig w:usb0="00000000" w:usb1="00000000" w:usb2="00000000" w:usb3="00000000" w:csb0="00000000" w:csb1="00000000"/>
  </w:font>
  <w:font w:name="方正彩云简体">
    <w:altName w:val="SF Automaton Extended"/>
    <w:panose1 w:val="00000000000000000000"/>
    <w:charset w:val="00"/>
    <w:family w:val="auto"/>
    <w:pitch w:val="default"/>
    <w:sig w:usb0="00000000" w:usb1="00000000" w:usb2="00000000" w:usb3="00000000" w:csb0="00000000" w:csb1="00000000"/>
  </w:font>
  <w:font w:name="方正超粗黑简体">
    <w:altName w:val="黑体"/>
    <w:panose1 w:val="00000000000000000000"/>
    <w:charset w:val="00"/>
    <w:family w:val="auto"/>
    <w:pitch w:val="default"/>
    <w:sig w:usb0="00000000" w:usb1="00000000" w:usb2="00000000" w:usb3="00000000" w:csb0="00000000" w:csb1="00000000"/>
  </w:font>
  <w:font w:name="方正少儿简体">
    <w:altName w:val="SF Automaton Extended"/>
    <w:panose1 w:val="00000000000000000000"/>
    <w:charset w:val="00"/>
    <w:family w:val="auto"/>
    <w:pitch w:val="default"/>
    <w:sig w:usb0="00000000" w:usb1="00000000" w:usb2="00000000" w:usb3="00000000" w:csb0="00000000" w:csb1="00000000"/>
  </w:font>
  <w:font w:name="方正稚艺简体">
    <w:altName w:val="SF Automaton Extended"/>
    <w:panose1 w:val="00000000000000000000"/>
    <w:charset w:val="00"/>
    <w:family w:val="auto"/>
    <w:pitch w:val="default"/>
    <w:sig w:usb0="00000000" w:usb1="00000000" w:usb2="00000000" w:usb3="00000000" w:csb0="00000000" w:csb1="00000000"/>
  </w:font>
  <w:font w:name="方正细珊瑚简体">
    <w:altName w:val="SF Automaton Extended"/>
    <w:panose1 w:val="00000000000000000000"/>
    <w:charset w:val="00"/>
    <w:family w:val="auto"/>
    <w:pitch w:val="default"/>
    <w:sig w:usb0="00000000" w:usb1="00000000" w:usb2="00000000" w:usb3="00000000" w:csb0="00000000" w:csb1="00000000"/>
  </w:font>
  <w:font w:name="方正华隶简体">
    <w:altName w:val="宋体"/>
    <w:panose1 w:val="00000000000000000000"/>
    <w:charset w:val="00"/>
    <w:family w:val="auto"/>
    <w:pitch w:val="default"/>
    <w:sig w:usb0="00000000" w:usb1="00000000" w:usb2="00000000" w:usb3="00000000" w:csb0="00000000" w:csb1="00000000"/>
  </w:font>
  <w:font w:name="方正细倩简体">
    <w:altName w:val="SF Automaton Extended"/>
    <w:panose1 w:val="00000000000000000000"/>
    <w:charset w:val="00"/>
    <w:family w:val="auto"/>
    <w:pitch w:val="default"/>
    <w:sig w:usb0="00000000" w:usb1="00000000" w:usb2="00000000" w:usb3="00000000" w:csb0="00000000" w:csb1="00000000"/>
  </w:font>
  <w:font w:name="方正胖娃简体">
    <w:altName w:val="SF Automaton Extended"/>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00000" w:csb1="00000000"/>
  </w:font>
  <w:font w:name="方正魏碑简体">
    <w:altName w:val="微软雅黑"/>
    <w:panose1 w:val="00000000000000000000"/>
    <w:charset w:val="00"/>
    <w:family w:val="auto"/>
    <w:pitch w:val="default"/>
    <w:sig w:usb0="00000000" w:usb1="00000000" w:usb2="00000000" w:usb3="00000000" w:csb0="00000000" w:csb1="00000000"/>
  </w:font>
  <w:font w:name="方正行楷简体">
    <w:altName w:val="微软雅黑"/>
    <w:panose1 w:val="00000000000000000000"/>
    <w:charset w:val="00"/>
    <w:family w:val="auto"/>
    <w:pitch w:val="default"/>
    <w:sig w:usb0="00000000" w:usb1="00000000" w:usb2="00000000" w:usb3="00000000" w:csb0="00000000" w:csb1="00000000"/>
  </w:font>
  <w:font w:name="方正舒体简体">
    <w:altName w:val="SF Automaton Extended"/>
    <w:panose1 w:val="00000000000000000000"/>
    <w:charset w:val="00"/>
    <w:family w:val="auto"/>
    <w:pitch w:val="default"/>
    <w:sig w:usb0="00000000" w:usb1="00000000" w:usb2="00000000" w:usb3="00000000" w:csb0="00000000" w:csb1="00000000"/>
  </w:font>
  <w:font w:name="方正康体简体">
    <w:altName w:val="SF Automaton Extended"/>
    <w:panose1 w:val="00000000000000000000"/>
    <w:charset w:val="00"/>
    <w:family w:val="auto"/>
    <w:pitch w:val="default"/>
    <w:sig w:usb0="00000000" w:usb1="00000000" w:usb2="00000000" w:usb3="00000000" w:csb0="00000000" w:csb1="00000000"/>
  </w:font>
  <w:font w:name="方正新舒体简体">
    <w:altName w:val="SF Automaton Extended"/>
    <w:panose1 w:val="00000000000000000000"/>
    <w:charset w:val="00"/>
    <w:family w:val="auto"/>
    <w:pitch w:val="default"/>
    <w:sig w:usb0="00000000" w:usb1="00000000" w:usb2="00000000" w:usb3="00000000" w:csb0="00000000" w:csb1="00000000"/>
  </w:font>
  <w:font w:name="方正黄草简体">
    <w:altName w:val="SF Automaton Extended"/>
    <w:panose1 w:val="00000000000000000000"/>
    <w:charset w:val="00"/>
    <w:family w:val="auto"/>
    <w:pitch w:val="default"/>
    <w:sig w:usb0="00000000" w:usb1="00000000" w:usb2="00000000" w:usb3="00000000" w:csb0="00000000" w:csb1="00000000"/>
  </w:font>
  <w:font w:name="方正平和简体">
    <w:altName w:val="SF Automaton Extended"/>
    <w:panose1 w:val="00000000000000000000"/>
    <w:charset w:val="00"/>
    <w:family w:val="auto"/>
    <w:pitch w:val="default"/>
    <w:sig w:usb0="00000000" w:usb1="00000000" w:usb2="00000000" w:usb3="00000000" w:csb0="00000000" w:csb1="00000000"/>
  </w:font>
  <w:font w:name="方正幼线简体">
    <w:altName w:val="SF Automaton Extended"/>
    <w:panose1 w:val="00000000000000000000"/>
    <w:charset w:val="00"/>
    <w:family w:val="auto"/>
    <w:pitch w:val="default"/>
    <w:sig w:usb0="00000000" w:usb1="00000000" w:usb2="00000000" w:usb3="00000000" w:csb0="00000000" w:csb1="00000000"/>
  </w:font>
  <w:font w:name="方正卡通简体">
    <w:altName w:val="SF Automaton Extended"/>
    <w:panose1 w:val="00000000000000000000"/>
    <w:charset w:val="00"/>
    <w:family w:val="auto"/>
    <w:pitch w:val="default"/>
    <w:sig w:usb0="00000000" w:usb1="00000000" w:usb2="00000000" w:usb3="00000000" w:csb0="00000000" w:csb1="00000000"/>
  </w:font>
  <w:font w:name="方正艺黑简体">
    <w:altName w:val="黑体"/>
    <w:panose1 w:val="00000000000000000000"/>
    <w:charset w:val="00"/>
    <w:family w:val="auto"/>
    <w:pitch w:val="default"/>
    <w:sig w:usb0="00000000" w:usb1="00000000" w:usb2="00000000" w:usb3="00000000" w:csb0="00000000" w:csb1="00000000"/>
  </w:font>
  <w:font w:name="方正水黑简体">
    <w:altName w:val="黑体"/>
    <w:panose1 w:val="00000000000000000000"/>
    <w:charset w:val="00"/>
    <w:family w:val="auto"/>
    <w:pitch w:val="default"/>
    <w:sig w:usb0="00000000" w:usb1="00000000" w:usb2="00000000" w:usb3="00000000" w:csb0="00000000" w:csb1="00000000"/>
  </w:font>
  <w:font w:name="方正古隶简体">
    <w:altName w:val="宋体"/>
    <w:panose1 w:val="00000000000000000000"/>
    <w:charset w:val="00"/>
    <w:family w:val="auto"/>
    <w:pitch w:val="default"/>
    <w:sig w:usb0="00000000" w:usb1="00000000" w:usb2="00000000" w:usb3="00000000" w:csb0="00000000" w:csb1="00000000"/>
  </w:font>
  <w:font w:name="方正启体简体">
    <w:altName w:val="SF Automaton Extended"/>
    <w:panose1 w:val="00000000000000000000"/>
    <w:charset w:val="00"/>
    <w:family w:val="auto"/>
    <w:pitch w:val="default"/>
    <w:sig w:usb0="00000000" w:usb1="00000000" w:usb2="00000000" w:usb3="00000000" w:csb0="00000000" w:csb1="00000000"/>
  </w:font>
  <w:font w:name="方正硬笔行书简体">
    <w:altName w:val="SF Automaton Extended"/>
    <w:panose1 w:val="00000000000000000000"/>
    <w:charset w:val="00"/>
    <w:family w:val="auto"/>
    <w:pitch w:val="default"/>
    <w:sig w:usb0="00000000" w:usb1="00000000" w:usb2="00000000" w:usb3="00000000" w:csb0="00000000" w:csb1="00000000"/>
  </w:font>
  <w:font w:name="方正北魏楷书简体">
    <w:altName w:val="宋体"/>
    <w:panose1 w:val="00000000000000000000"/>
    <w:charset w:val="00"/>
    <w:family w:val="auto"/>
    <w:pitch w:val="default"/>
    <w:sig w:usb0="00000000" w:usb1="00000000" w:usb2="00000000" w:usb3="00000000" w:csb0="00000000" w:csb1="00000000"/>
  </w:font>
  <w:font w:name="方正粗活意简体">
    <w:altName w:val="SF Automaton Extended"/>
    <w:panose1 w:val="00000000000000000000"/>
    <w:charset w:val="00"/>
    <w:family w:val="auto"/>
    <w:pitch w:val="default"/>
    <w:sig w:usb0="00000000" w:usb1="00000000" w:usb2="00000000" w:usb3="00000000" w:csb0="00000000" w:csb1="00000000"/>
  </w:font>
  <w:font w:name="方正流行体简体">
    <w:altName w:val="SF Automaton Extended"/>
    <w:panose1 w:val="00000000000000000000"/>
    <w:charset w:val="00"/>
    <w:family w:val="auto"/>
    <w:pitch w:val="default"/>
    <w:sig w:usb0="00000000" w:usb1="00000000" w:usb2="00000000" w:usb3="00000000" w:csb0="00000000" w:csb1="00000000"/>
  </w:font>
  <w:font w:name="方正祥隶简体">
    <w:altName w:val="宋体"/>
    <w:panose1 w:val="00000000000000000000"/>
    <w:charset w:val="00"/>
    <w:family w:val="auto"/>
    <w:pitch w:val="default"/>
    <w:sig w:usb0="00000000" w:usb1="00000000" w:usb2="00000000" w:usb3="00000000" w:csb0="00000000" w:csb1="00000000"/>
  </w:font>
  <w:font w:name="（使用中文字体）">
    <w:altName w:val="SF Automaton Extended"/>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0C44622"/>
    <w:rsid w:val="011704B6"/>
    <w:rsid w:val="021744BC"/>
    <w:rsid w:val="02622662"/>
    <w:rsid w:val="05A613CE"/>
    <w:rsid w:val="06273D2F"/>
    <w:rsid w:val="066B5EED"/>
    <w:rsid w:val="0826101C"/>
    <w:rsid w:val="083246F7"/>
    <w:rsid w:val="083B2E68"/>
    <w:rsid w:val="08673D2A"/>
    <w:rsid w:val="0A4159F4"/>
    <w:rsid w:val="0B153B11"/>
    <w:rsid w:val="0BFA61F5"/>
    <w:rsid w:val="0D152D60"/>
    <w:rsid w:val="0E0763AE"/>
    <w:rsid w:val="0EEA215A"/>
    <w:rsid w:val="11F93B1C"/>
    <w:rsid w:val="11FA38F5"/>
    <w:rsid w:val="14A776BE"/>
    <w:rsid w:val="172E5427"/>
    <w:rsid w:val="174552BA"/>
    <w:rsid w:val="17EE545F"/>
    <w:rsid w:val="18267BE7"/>
    <w:rsid w:val="19453DBA"/>
    <w:rsid w:val="198860F9"/>
    <w:rsid w:val="1A451A2A"/>
    <w:rsid w:val="1B0A3499"/>
    <w:rsid w:val="1C627A75"/>
    <w:rsid w:val="1E5459AE"/>
    <w:rsid w:val="1F482A96"/>
    <w:rsid w:val="208E165E"/>
    <w:rsid w:val="20D7502C"/>
    <w:rsid w:val="2182268D"/>
    <w:rsid w:val="225C02B3"/>
    <w:rsid w:val="22FE6F61"/>
    <w:rsid w:val="24EC5364"/>
    <w:rsid w:val="251865EA"/>
    <w:rsid w:val="275012D1"/>
    <w:rsid w:val="27FE23BA"/>
    <w:rsid w:val="28461F24"/>
    <w:rsid w:val="28740BB5"/>
    <w:rsid w:val="2A795658"/>
    <w:rsid w:val="2C236C59"/>
    <w:rsid w:val="2D063590"/>
    <w:rsid w:val="2E287751"/>
    <w:rsid w:val="312F7C90"/>
    <w:rsid w:val="327D0004"/>
    <w:rsid w:val="349458E8"/>
    <w:rsid w:val="36591A23"/>
    <w:rsid w:val="36EA50A7"/>
    <w:rsid w:val="372A6079"/>
    <w:rsid w:val="37675DCC"/>
    <w:rsid w:val="37C1347B"/>
    <w:rsid w:val="37F33122"/>
    <w:rsid w:val="37FE4FC8"/>
    <w:rsid w:val="38100E23"/>
    <w:rsid w:val="384713D2"/>
    <w:rsid w:val="388E4C78"/>
    <w:rsid w:val="39B1354C"/>
    <w:rsid w:val="39B90915"/>
    <w:rsid w:val="39E113F5"/>
    <w:rsid w:val="39E31CC0"/>
    <w:rsid w:val="3B2F6EF7"/>
    <w:rsid w:val="3B3C4D54"/>
    <w:rsid w:val="3C223D18"/>
    <w:rsid w:val="3CCB793B"/>
    <w:rsid w:val="3CDF67F3"/>
    <w:rsid w:val="3D961312"/>
    <w:rsid w:val="3D9A530C"/>
    <w:rsid w:val="3F6948B7"/>
    <w:rsid w:val="41193F13"/>
    <w:rsid w:val="41F439C1"/>
    <w:rsid w:val="4300194F"/>
    <w:rsid w:val="44DE6EF3"/>
    <w:rsid w:val="4B4F1F4F"/>
    <w:rsid w:val="4C710BC2"/>
    <w:rsid w:val="4C9E2734"/>
    <w:rsid w:val="4D6C2539"/>
    <w:rsid w:val="4D765109"/>
    <w:rsid w:val="4D8205C0"/>
    <w:rsid w:val="4EFF5BB2"/>
    <w:rsid w:val="4FFB2590"/>
    <w:rsid w:val="50F85696"/>
    <w:rsid w:val="52002F80"/>
    <w:rsid w:val="52AE776A"/>
    <w:rsid w:val="53BE3088"/>
    <w:rsid w:val="54D6631B"/>
    <w:rsid w:val="552A4C57"/>
    <w:rsid w:val="56655F3F"/>
    <w:rsid w:val="572040A1"/>
    <w:rsid w:val="575C6B12"/>
    <w:rsid w:val="58EE3D94"/>
    <w:rsid w:val="58FB26A1"/>
    <w:rsid w:val="59734A69"/>
    <w:rsid w:val="5AF06815"/>
    <w:rsid w:val="5BC846A7"/>
    <w:rsid w:val="5CC1343E"/>
    <w:rsid w:val="5CEA6EFD"/>
    <w:rsid w:val="5E834B06"/>
    <w:rsid w:val="5F8A2E86"/>
    <w:rsid w:val="5FFD6D65"/>
    <w:rsid w:val="6080698E"/>
    <w:rsid w:val="60FE54B3"/>
    <w:rsid w:val="6199159B"/>
    <w:rsid w:val="635C2451"/>
    <w:rsid w:val="64013AF7"/>
    <w:rsid w:val="64752A82"/>
    <w:rsid w:val="64923459"/>
    <w:rsid w:val="65A31D7F"/>
    <w:rsid w:val="668A2C9F"/>
    <w:rsid w:val="68DB3EBB"/>
    <w:rsid w:val="69D8791C"/>
    <w:rsid w:val="6BEA2F00"/>
    <w:rsid w:val="6C7675A4"/>
    <w:rsid w:val="70283050"/>
    <w:rsid w:val="70570322"/>
    <w:rsid w:val="71A242AF"/>
    <w:rsid w:val="72F907FB"/>
    <w:rsid w:val="75771C0B"/>
    <w:rsid w:val="7584598A"/>
    <w:rsid w:val="78632FA7"/>
    <w:rsid w:val="78DE1F91"/>
    <w:rsid w:val="791B3E16"/>
    <w:rsid w:val="79EA7CFD"/>
    <w:rsid w:val="7D0E4CB5"/>
    <w:rsid w:val="7DC817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qFormat/>
    <w:uiPriority w:val="0"/>
    <w:rPr>
      <w:color w:val="EB5800"/>
    </w:rPr>
  </w:style>
  <w:style w:type="character" w:customStyle="1" w:styleId="89">
    <w:name w:val="active34"/>
    <w:basedOn w:val="7"/>
    <w:qFormat/>
    <w:uiPriority w:val="0"/>
  </w:style>
  <w:style w:type="character" w:customStyle="1" w:styleId="90">
    <w:name w:val="active35"/>
    <w:basedOn w:val="7"/>
    <w:qFormat/>
    <w:uiPriority w:val="0"/>
    <w:rPr>
      <w:shd w:val="clear" w:fill="FFFFFF"/>
    </w:rPr>
  </w:style>
  <w:style w:type="character" w:customStyle="1" w:styleId="91">
    <w:name w:val="active36"/>
    <w:basedOn w:val="7"/>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qFormat/>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current"/>
    <w:basedOn w:val="7"/>
    <w:qFormat/>
    <w:uiPriority w:val="0"/>
  </w:style>
  <w:style w:type="paragraph" w:customStyle="1" w:styleId="131">
    <w:name w:val="hr_1"/>
    <w:basedOn w:val="1"/>
    <w:qFormat/>
    <w:uiPriority w:val="0"/>
    <w:pPr>
      <w:jc w:val="center"/>
    </w:pPr>
    <w:rPr>
      <w:color w:val="99C2E2"/>
      <w:kern w:val="0"/>
      <w:lang w:val="en-US" w:eastAsia="zh-CN" w:bidi="ar"/>
    </w:rPr>
  </w:style>
  <w:style w:type="character" w:customStyle="1" w:styleId="132">
    <w:name w:val="spanmore"/>
    <w:basedOn w:val="7"/>
    <w:qFormat/>
    <w:uiPriority w:val="0"/>
  </w:style>
  <w:style w:type="character" w:customStyle="1" w:styleId="133">
    <w:name w:val="spanitalic"/>
    <w:basedOn w:val="7"/>
    <w:qFormat/>
    <w:uiPriority w:val="0"/>
    <w:rPr>
      <w:color w:val="666666"/>
      <w:sz w:val="18"/>
      <w:szCs w:val="18"/>
    </w:rPr>
  </w:style>
  <w:style w:type="character" w:customStyle="1" w:styleId="134">
    <w:name w:val="spanright_short"/>
    <w:basedOn w:val="7"/>
    <w:qFormat/>
    <w:uiPriority w:val="0"/>
    <w:rPr>
      <w:color w:val="666666"/>
      <w:sz w:val="18"/>
      <w:szCs w:val="18"/>
    </w:rPr>
  </w:style>
  <w:style w:type="character" w:customStyle="1" w:styleId="135">
    <w:name w:val="sk_subnav_title"/>
    <w:basedOn w:val="7"/>
    <w:qFormat/>
    <w:uiPriority w:val="0"/>
  </w:style>
  <w:style w:type="character" w:customStyle="1" w:styleId="136">
    <w:name w:val="spanleft"/>
    <w:basedOn w:val="7"/>
    <w:qFormat/>
    <w:uiPriority w:val="0"/>
  </w:style>
  <w:style w:type="character" w:customStyle="1" w:styleId="137">
    <w:name w:val="spanleft1"/>
    <w:basedOn w:val="7"/>
    <w:qFormat/>
    <w:uiPriority w:val="0"/>
  </w:style>
  <w:style w:type="character" w:customStyle="1" w:styleId="138">
    <w:name w:val="spanright"/>
    <w:basedOn w:val="7"/>
    <w:qFormat/>
    <w:uiPriority w:val="0"/>
    <w:rPr>
      <w:color w:val="666666"/>
      <w:sz w:val="18"/>
      <w:szCs w:val="18"/>
    </w:rPr>
  </w:style>
  <w:style w:type="character" w:customStyle="1" w:styleId="139">
    <w:name w:val="spanright1"/>
    <w:basedOn w:val="7"/>
    <w:qFormat/>
    <w:uiPriority w:val="0"/>
  </w:style>
  <w:style w:type="character" w:customStyle="1" w:styleId="140">
    <w:name w:val="spanright2"/>
    <w:basedOn w:val="7"/>
    <w:qFormat/>
    <w:uiPriority w:val="0"/>
  </w:style>
  <w:style w:type="character" w:customStyle="1" w:styleId="141">
    <w:name w:val="spanright3"/>
    <w:basedOn w:val="7"/>
    <w:qFormat/>
    <w:uiPriority w:val="0"/>
    <w:rPr>
      <w:color w:val="666666"/>
      <w:sz w:val="18"/>
      <w:szCs w:val="18"/>
    </w:rPr>
  </w:style>
  <w:style w:type="character" w:customStyle="1" w:styleId="142">
    <w:name w:val="spanright_69"/>
    <w:basedOn w:val="7"/>
    <w:qFormat/>
    <w:uiPriority w:val="0"/>
    <w:rPr>
      <w:color w:val="666666"/>
      <w:sz w:val="18"/>
      <w:szCs w:val="18"/>
    </w:rPr>
  </w:style>
  <w:style w:type="character" w:customStyle="1" w:styleId="143">
    <w:name w:val="span_left"/>
    <w:basedOn w:val="7"/>
    <w:qFormat/>
    <w:uiPriority w:val="0"/>
    <w:rPr>
      <w:color w:val="666666"/>
      <w:sz w:val="18"/>
      <w:szCs w:val="18"/>
    </w:rPr>
  </w:style>
  <w:style w:type="character" w:customStyle="1" w:styleId="144">
    <w:name w:val="spantitle"/>
    <w:basedOn w:val="7"/>
    <w:qFormat/>
    <w:uiPriority w:val="0"/>
    <w:rPr>
      <w:b/>
      <w:color w:val="000000"/>
      <w:sz w:val="21"/>
      <w:szCs w:val="21"/>
    </w:rPr>
  </w:style>
  <w:style w:type="character" w:customStyle="1" w:styleId="145">
    <w:name w:val="spantitle1"/>
    <w:basedOn w:val="7"/>
    <w:qFormat/>
    <w:uiPriority w:val="0"/>
    <w:rPr>
      <w:b/>
      <w:color w:val="FFFFFF"/>
    </w:rPr>
  </w:style>
  <w:style w:type="character" w:customStyle="1" w:styleId="146">
    <w:name w:val="spantitle2"/>
    <w:basedOn w:val="7"/>
    <w:qFormat/>
    <w:uiPriority w:val="0"/>
    <w:rPr>
      <w:b/>
      <w:color w:val="000000"/>
      <w:sz w:val="21"/>
      <w:szCs w:val="21"/>
    </w:rPr>
  </w:style>
  <w:style w:type="character" w:customStyle="1" w:styleId="147">
    <w:name w:val="spantitle3"/>
    <w:basedOn w:val="7"/>
    <w:qFormat/>
    <w:uiPriority w:val="0"/>
    <w:rPr>
      <w:b/>
      <w:color w:val="000000"/>
      <w:sz w:val="21"/>
      <w:szCs w:val="21"/>
    </w:rPr>
  </w:style>
  <w:style w:type="character" w:customStyle="1" w:styleId="148">
    <w:name w:val="spanright_long"/>
    <w:basedOn w:val="7"/>
    <w:qFormat/>
    <w:uiPriority w:val="0"/>
    <w:rPr>
      <w:color w:val="666666"/>
      <w:sz w:val="18"/>
      <w:szCs w:val="18"/>
    </w:rPr>
  </w:style>
  <w:style w:type="character" w:customStyle="1" w:styleId="149">
    <w:name w:val="spanright_80"/>
    <w:basedOn w:val="7"/>
    <w:qFormat/>
    <w:uiPriority w:val="0"/>
    <w:rPr>
      <w:color w:val="666666"/>
      <w:sz w:val="18"/>
      <w:szCs w:val="18"/>
    </w:rPr>
  </w:style>
  <w:style w:type="character" w:customStyle="1" w:styleId="150">
    <w:name w:val="spanright_mid"/>
    <w:basedOn w:val="7"/>
    <w:qFormat/>
    <w:uiPriority w:val="0"/>
    <w:rPr>
      <w:color w:val="666666"/>
      <w:sz w:val="18"/>
      <w:szCs w:val="18"/>
    </w:rPr>
  </w:style>
  <w:style w:type="character" w:customStyle="1" w:styleId="151">
    <w:name w:val="spanright_shorter"/>
    <w:basedOn w:val="7"/>
    <w:qFormat/>
    <w:uiPriority w:val="0"/>
    <w:rPr>
      <w:color w:val="666666"/>
      <w:sz w:val="18"/>
      <w:szCs w:val="18"/>
    </w:rPr>
  </w:style>
  <w:style w:type="character" w:customStyle="1" w:styleId="152">
    <w:name w:val="spanred"/>
    <w:basedOn w:val="7"/>
    <w:qFormat/>
    <w:uiPriority w:val="0"/>
    <w:rPr>
      <w:color w:val="E30000"/>
    </w:rPr>
  </w:style>
  <w:style w:type="character" w:customStyle="1" w:styleId="153">
    <w:name w:val="spanmore4"/>
    <w:basedOn w:val="7"/>
    <w:qFormat/>
    <w:uiPriority w:val="0"/>
  </w:style>
  <w:style w:type="character" w:customStyle="1" w:styleId="154">
    <w:name w:val="span_left28"/>
    <w:basedOn w:val="7"/>
    <w:qFormat/>
    <w:uiPriority w:val="0"/>
    <w:rPr>
      <w:color w:val="666666"/>
      <w:sz w:val="18"/>
      <w:szCs w:val="18"/>
    </w:rPr>
  </w:style>
  <w:style w:type="character" w:customStyle="1" w:styleId="155">
    <w:name w:val="spantitle6"/>
    <w:basedOn w:val="7"/>
    <w:qFormat/>
    <w:uiPriority w:val="0"/>
    <w:rPr>
      <w:b/>
      <w:color w:val="FFFFFF"/>
    </w:rPr>
  </w:style>
  <w:style w:type="character" w:customStyle="1" w:styleId="156">
    <w:name w:val="spantitle7"/>
    <w:basedOn w:val="7"/>
    <w:qFormat/>
    <w:uiPriority w:val="0"/>
    <w:rPr>
      <w:b/>
      <w:color w:val="000000"/>
      <w:sz w:val="21"/>
      <w:szCs w:val="21"/>
    </w:rPr>
  </w:style>
  <w:style w:type="character" w:customStyle="1" w:styleId="157">
    <w:name w:val="spantitle8"/>
    <w:basedOn w:val="7"/>
    <w:qFormat/>
    <w:uiPriority w:val="0"/>
    <w:rPr>
      <w:b/>
      <w:color w:val="000000"/>
      <w:sz w:val="21"/>
      <w:szCs w:val="21"/>
    </w:rPr>
  </w:style>
  <w:style w:type="character" w:customStyle="1" w:styleId="158">
    <w:name w:val="spantitle9"/>
    <w:basedOn w:val="7"/>
    <w:qFormat/>
    <w:uiPriority w:val="0"/>
    <w:rPr>
      <w:b/>
      <w:color w:val="000000"/>
      <w:sz w:val="21"/>
      <w:szCs w:val="21"/>
    </w:rPr>
  </w:style>
  <w:style w:type="character" w:customStyle="1" w:styleId="159">
    <w:name w:val="thumbnail"/>
    <w:basedOn w:val="7"/>
    <w:qFormat/>
    <w:uiPriority w:val="0"/>
  </w:style>
  <w:style w:type="character" w:customStyle="1" w:styleId="160">
    <w:name w:val="ms-navheader"/>
    <w:basedOn w:val="7"/>
    <w:qFormat/>
    <w:uiPriority w:val="0"/>
    <w:rPr>
      <w:bdr w:val="single" w:color="F2F8FF" w:sz="6" w:space="0"/>
      <w:shd w:val="clear" w:fill="D6E8FF"/>
    </w:rPr>
  </w:style>
  <w:style w:type="character" w:customStyle="1" w:styleId="161">
    <w:name w:val="ms-formfieldlabel"/>
    <w:basedOn w:val="7"/>
    <w:qFormat/>
    <w:uiPriority w:val="0"/>
    <w:rPr>
      <w:rFonts w:hint="eastAsia" w:ascii="宋体" w:hAnsi="宋体" w:eastAsia="宋体" w:cs="宋体"/>
      <w:color w:val="777777"/>
      <w:sz w:val="18"/>
      <w:szCs w:val="18"/>
      <w:bdr w:val="single" w:color="CCCCCC" w:sz="6" w:space="0"/>
      <w:shd w:val="clear" w:fill="EFEBEF"/>
    </w:rPr>
  </w:style>
  <w:style w:type="character" w:customStyle="1" w:styleId="162">
    <w:name w:val="ms-navselected1"/>
    <w:basedOn w:val="7"/>
    <w:qFormat/>
    <w:uiPriority w:val="0"/>
    <w:rPr>
      <w:shd w:val="clear" w:fill="FFE6A0"/>
    </w:rPr>
  </w:style>
  <w:style w:type="character" w:customStyle="1" w:styleId="163">
    <w:name w:val="ms-navitem1"/>
    <w:basedOn w:val="7"/>
    <w:qFormat/>
    <w:uiPriority w:val="0"/>
    <w:rPr>
      <w:rFonts w:hint="eastAsia" w:ascii="宋体" w:hAnsi="宋体" w:eastAsia="宋体" w:cs="宋体"/>
    </w:rPr>
  </w:style>
  <w:style w:type="character" w:customStyle="1" w:styleId="164">
    <w:name w:val="userdata"/>
    <w:basedOn w:val="7"/>
    <w:qFormat/>
    <w:uiPriority w:val="0"/>
    <w:rPr>
      <w:vanish/>
    </w:rPr>
  </w:style>
  <w:style w:type="character" w:customStyle="1" w:styleId="165">
    <w:name w:val="ms-wpedittext"/>
    <w:basedOn w:val="7"/>
    <w:qFormat/>
    <w:uiPriority w:val="0"/>
    <w:rPr>
      <w:rFonts w:hint="eastAsia" w:ascii="宋体" w:hAnsi="宋体" w:eastAsia="宋体" w:cs="宋体"/>
      <w:color w:val="000000"/>
      <w:sz w:val="18"/>
      <w:szCs w:val="18"/>
      <w:u w:val="none"/>
    </w:rPr>
  </w:style>
  <w:style w:type="paragraph" w:customStyle="1" w:styleId="166">
    <w:name w:val="_Style 165"/>
    <w:basedOn w:val="1"/>
    <w:next w:val="1"/>
    <w:qFormat/>
    <w:uiPriority w:val="0"/>
    <w:pPr>
      <w:pBdr>
        <w:bottom w:val="single" w:color="auto" w:sz="6" w:space="1"/>
      </w:pBdr>
      <w:jc w:val="center"/>
    </w:pPr>
    <w:rPr>
      <w:rFonts w:ascii="Arial" w:eastAsia="宋体"/>
      <w:vanish/>
      <w:sz w:val="16"/>
    </w:rPr>
  </w:style>
  <w:style w:type="paragraph" w:customStyle="1" w:styleId="167">
    <w:name w:val="_Style 166"/>
    <w:basedOn w:val="1"/>
    <w:next w:val="1"/>
    <w:qFormat/>
    <w:uiPriority w:val="0"/>
    <w:pPr>
      <w:pBdr>
        <w:top w:val="single" w:color="auto" w:sz="6" w:space="1"/>
      </w:pBdr>
      <w:jc w:val="center"/>
    </w:pPr>
    <w:rPr>
      <w:rFonts w:ascii="Arial" w:eastAsia="宋体"/>
      <w:vanish/>
      <w:sz w:val="16"/>
    </w:rPr>
  </w:style>
  <w:style w:type="character" w:customStyle="1" w:styleId="168">
    <w:name w:val="ms-navitem"/>
    <w:basedOn w:val="7"/>
    <w:qFormat/>
    <w:uiPriority w:val="0"/>
    <w:rPr>
      <w:rFonts w:hint="eastAsia" w:ascii="宋体" w:hAnsi="宋体" w:eastAsia="宋体" w:cs="宋体"/>
    </w:rPr>
  </w:style>
  <w:style w:type="character" w:customStyle="1" w:styleId="169">
    <w:name w:val="on1"/>
    <w:basedOn w:val="7"/>
    <w:qFormat/>
    <w:uiPriority w:val="0"/>
    <w:rPr>
      <w:color w:val="FFFFFF"/>
    </w:rPr>
  </w:style>
  <w:style w:type="character" w:customStyle="1" w:styleId="170">
    <w:name w:val="on4"/>
    <w:basedOn w:val="7"/>
    <w:qFormat/>
    <w:uiPriority w:val="0"/>
    <w:rPr>
      <w:color w:val="FFFFFF"/>
    </w:rPr>
  </w:style>
  <w:style w:type="character" w:customStyle="1" w:styleId="171">
    <w:name w:val="place"/>
    <w:basedOn w:val="7"/>
    <w:qFormat/>
    <w:uiPriority w:val="0"/>
  </w:style>
  <w:style w:type="character" w:customStyle="1" w:styleId="172">
    <w:name w:val="place1"/>
    <w:basedOn w:val="7"/>
    <w:qFormat/>
    <w:uiPriority w:val="0"/>
  </w:style>
  <w:style w:type="character" w:customStyle="1" w:styleId="173">
    <w:name w:val="place2"/>
    <w:basedOn w:val="7"/>
    <w:qFormat/>
    <w:uiPriority w:val="0"/>
    <w:rPr>
      <w:rFonts w:ascii="微软雅黑" w:hAnsi="微软雅黑" w:eastAsia="微软雅黑" w:cs="微软雅黑"/>
      <w:color w:val="888888"/>
      <w:sz w:val="25"/>
      <w:szCs w:val="25"/>
    </w:rPr>
  </w:style>
  <w:style w:type="character" w:customStyle="1" w:styleId="174">
    <w:name w:val="place3"/>
    <w:basedOn w:val="7"/>
    <w:qFormat/>
    <w:uiPriority w:val="0"/>
  </w:style>
  <w:style w:type="character" w:customStyle="1" w:styleId="175">
    <w:name w:val="noline"/>
    <w:basedOn w:val="7"/>
    <w:qFormat/>
    <w:uiPriority w:val="0"/>
  </w:style>
  <w:style w:type="character" w:customStyle="1" w:styleId="176">
    <w:name w:val="hover18"/>
    <w:basedOn w:val="7"/>
    <w:qFormat/>
    <w:uiPriority w:val="0"/>
    <w:rPr>
      <w:color w:val="025291"/>
    </w:rPr>
  </w:style>
  <w:style w:type="character" w:customStyle="1" w:styleId="177">
    <w:name w:val="disabled"/>
    <w:basedOn w:val="7"/>
    <w:qFormat/>
    <w:uiPriority w:val="0"/>
    <w:rPr>
      <w:color w:val="888888"/>
    </w:rPr>
  </w:style>
  <w:style w:type="character" w:customStyle="1" w:styleId="178">
    <w:name w:val="ft_time"/>
    <w:basedOn w:val="7"/>
    <w:qFormat/>
    <w:uiPriority w:val="0"/>
    <w:rPr>
      <w:color w:val="888888"/>
    </w:rPr>
  </w:style>
  <w:style w:type="character" w:customStyle="1" w:styleId="179">
    <w:name w:val="spanmore5"/>
    <w:basedOn w:val="7"/>
    <w:qFormat/>
    <w:uiPriority w:val="0"/>
  </w:style>
  <w:style w:type="character" w:customStyle="1" w:styleId="180">
    <w:name w:val="spanmore6"/>
    <w:basedOn w:val="7"/>
    <w:qFormat/>
    <w:uiPriority w:val="0"/>
  </w:style>
  <w:style w:type="character" w:customStyle="1" w:styleId="181">
    <w:name w:val="spanmore7"/>
    <w:basedOn w:val="7"/>
    <w:qFormat/>
    <w:uiPriority w:val="0"/>
  </w:style>
  <w:style w:type="character" w:customStyle="1" w:styleId="182">
    <w:name w:val="on5"/>
    <w:basedOn w:val="7"/>
    <w:qFormat/>
    <w:uiPriority w:val="0"/>
    <w:rPr>
      <w:color w:val="FFFFFF"/>
    </w:rPr>
  </w:style>
  <w:style w:type="character" w:customStyle="1" w:styleId="183">
    <w:name w:val="spanmore1"/>
    <w:basedOn w:val="7"/>
    <w:uiPriority w:val="0"/>
  </w:style>
  <w:style w:type="character" w:customStyle="1" w:styleId="184">
    <w:name w:val="spanmore2"/>
    <w:basedOn w:val="7"/>
    <w:uiPriority w:val="0"/>
  </w:style>
  <w:style w:type="character" w:customStyle="1" w:styleId="185">
    <w:name w:val="spanmore3"/>
    <w:basedOn w:val="7"/>
    <w:uiPriority w:val="0"/>
  </w:style>
  <w:style w:type="character" w:customStyle="1" w:styleId="186">
    <w:name w:val="span_left24"/>
    <w:basedOn w:val="7"/>
    <w:uiPriority w:val="0"/>
    <w:rPr>
      <w:color w:val="666666"/>
      <w:sz w:val="18"/>
      <w:szCs w:val="18"/>
    </w:rPr>
  </w:style>
  <w:style w:type="character" w:customStyle="1" w:styleId="187">
    <w:name w:val="data"/>
    <w:basedOn w:val="7"/>
    <w:uiPriority w:val="0"/>
    <w:rPr>
      <w:rFonts w:hint="eastAsia" w:ascii="宋体" w:hAnsi="宋体" w:eastAsia="宋体" w:cs="宋体"/>
      <w:color w:val="595757"/>
      <w:sz w:val="27"/>
      <w:szCs w:val="27"/>
    </w:rPr>
  </w:style>
  <w:style w:type="character" w:customStyle="1" w:styleId="188">
    <w:name w:val="data1"/>
    <w:basedOn w:val="7"/>
    <w:uiPriority w:val="0"/>
    <w:rPr>
      <w:rFonts w:hint="eastAsia" w:ascii="宋体" w:hAnsi="宋体" w:eastAsia="宋体" w:cs="宋体"/>
      <w:color w:val="595757"/>
      <w:sz w:val="22"/>
      <w:szCs w:val="22"/>
    </w:rPr>
  </w:style>
  <w:style w:type="character" w:customStyle="1" w:styleId="189">
    <w:name w:val="ht1"/>
    <w:basedOn w:val="7"/>
    <w:uiPriority w:val="0"/>
    <w:rPr>
      <w:rFonts w:ascii="黑体" w:eastAsia="黑体"/>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2016-08-15T07:31:37Z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2052-10.1.0.5865</vt:lpwstr>
  </property>
</Properties>
</file>